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EA9AC" w14:textId="77777777" w:rsidR="00895FE3" w:rsidRDefault="00895FE3" w:rsidP="00D50984">
      <w:pPr>
        <w:contextualSpacing/>
        <w:jc w:val="center"/>
        <w:rPr>
          <w:rFonts w:cs="Times New Roman"/>
          <w:b/>
          <w:szCs w:val="24"/>
        </w:rPr>
      </w:pPr>
    </w:p>
    <w:p w14:paraId="45A3B131" w14:textId="2BE04C71" w:rsidR="00D50984" w:rsidRPr="00AE44B0" w:rsidRDefault="00D50984" w:rsidP="00D50984">
      <w:pPr>
        <w:contextualSpacing/>
        <w:jc w:val="center"/>
        <w:rPr>
          <w:rFonts w:cs="Times New Roman"/>
          <w:b/>
          <w:szCs w:val="24"/>
        </w:rPr>
      </w:pPr>
      <w:r w:rsidRPr="00AE44B0">
        <w:rPr>
          <w:rFonts w:cs="Times New Roman"/>
          <w:b/>
          <w:szCs w:val="24"/>
        </w:rPr>
        <w:t xml:space="preserve">STATE OF </w:t>
      </w:r>
      <w:smartTag w:uri="urn:schemas-microsoft-com:office:smarttags" w:element="stockticker">
        <w:r w:rsidRPr="00AE44B0">
          <w:rPr>
            <w:rFonts w:cs="Times New Roman"/>
            <w:b/>
            <w:szCs w:val="24"/>
          </w:rPr>
          <w:t>NEW</w:t>
        </w:r>
      </w:smartTag>
      <w:r w:rsidRPr="00AE44B0">
        <w:rPr>
          <w:rFonts w:cs="Times New Roman"/>
          <w:b/>
          <w:szCs w:val="24"/>
        </w:rPr>
        <w:t xml:space="preserve"> MEXICO</w:t>
      </w:r>
    </w:p>
    <w:p w14:paraId="33D18216" w14:textId="77777777" w:rsidR="00D50984" w:rsidRPr="00AE44B0" w:rsidRDefault="00D50984" w:rsidP="00D50984">
      <w:pPr>
        <w:contextualSpacing/>
        <w:jc w:val="center"/>
        <w:rPr>
          <w:rFonts w:cs="Times New Roman"/>
          <w:b/>
          <w:szCs w:val="24"/>
        </w:rPr>
      </w:pPr>
      <w:r w:rsidRPr="00AE44B0">
        <w:rPr>
          <w:rFonts w:cs="Times New Roman"/>
          <w:b/>
          <w:szCs w:val="24"/>
        </w:rPr>
        <w:t>BEFORE THE ENVIRONMENTAL IMPROVEMENT BOARD</w:t>
      </w:r>
    </w:p>
    <w:p w14:paraId="0778654E" w14:textId="77777777" w:rsidR="00D50984" w:rsidRPr="00AE44B0" w:rsidRDefault="00D50984" w:rsidP="00D50984">
      <w:pPr>
        <w:spacing w:line="480" w:lineRule="auto"/>
        <w:rPr>
          <w:rFonts w:cs="Times New Roman"/>
          <w:b/>
          <w:szCs w:val="24"/>
        </w:rPr>
      </w:pPr>
    </w:p>
    <w:p w14:paraId="30D3169C" w14:textId="77777777" w:rsidR="00D50984" w:rsidRPr="00AE44B0" w:rsidRDefault="00D50984" w:rsidP="00D50984">
      <w:pPr>
        <w:rPr>
          <w:rFonts w:cs="Times New Roman"/>
          <w:b/>
          <w:szCs w:val="24"/>
        </w:rPr>
      </w:pPr>
      <w:r w:rsidRPr="00AE44B0">
        <w:rPr>
          <w:rFonts w:cs="Times New Roman"/>
          <w:b/>
          <w:szCs w:val="24"/>
        </w:rPr>
        <w:t>IN THE MATTER OF:</w:t>
      </w:r>
    </w:p>
    <w:p w14:paraId="2D173E22" w14:textId="77777777" w:rsidR="00D50984" w:rsidRPr="00AE44B0" w:rsidRDefault="00D50984" w:rsidP="00D50984">
      <w:pPr>
        <w:rPr>
          <w:rFonts w:cs="Times New Roman"/>
          <w:b/>
          <w:szCs w:val="24"/>
        </w:rPr>
      </w:pPr>
    </w:p>
    <w:p w14:paraId="6FB7618F" w14:textId="77777777" w:rsidR="00D50984" w:rsidRPr="00AE44B0" w:rsidRDefault="00D50984" w:rsidP="00D50984">
      <w:pPr>
        <w:spacing w:line="240" w:lineRule="auto"/>
        <w:contextualSpacing/>
        <w:rPr>
          <w:rFonts w:cs="Times New Roman"/>
          <w:b/>
          <w:szCs w:val="24"/>
        </w:rPr>
      </w:pPr>
      <w:r w:rsidRPr="00AE44B0">
        <w:rPr>
          <w:rFonts w:cs="Times New Roman"/>
          <w:b/>
          <w:szCs w:val="24"/>
        </w:rPr>
        <w:t>PROPOSED NEW REGULATION,</w:t>
      </w:r>
    </w:p>
    <w:p w14:paraId="6926A887" w14:textId="77777777" w:rsidR="00D50984" w:rsidRPr="00AE44B0" w:rsidRDefault="00D50984" w:rsidP="00D50984">
      <w:pPr>
        <w:spacing w:after="0" w:line="240" w:lineRule="auto"/>
        <w:rPr>
          <w:rFonts w:cs="Times New Roman"/>
          <w:b/>
          <w:szCs w:val="24"/>
        </w:rPr>
      </w:pPr>
      <w:r w:rsidRPr="00AE44B0">
        <w:rPr>
          <w:rFonts w:cs="Times New Roman"/>
          <w:b/>
          <w:szCs w:val="24"/>
        </w:rPr>
        <w:t xml:space="preserve">20.2.50 NMAC – OIL AND GAS </w:t>
      </w:r>
      <w:r w:rsidRPr="00AE44B0">
        <w:rPr>
          <w:rFonts w:cs="Times New Roman"/>
          <w:b/>
          <w:szCs w:val="24"/>
        </w:rPr>
        <w:tab/>
      </w:r>
      <w:r w:rsidRPr="00AE44B0">
        <w:rPr>
          <w:rFonts w:cs="Times New Roman"/>
          <w:b/>
          <w:szCs w:val="24"/>
        </w:rPr>
        <w:tab/>
      </w:r>
      <w:r w:rsidRPr="00AE44B0">
        <w:rPr>
          <w:rFonts w:cs="Times New Roman"/>
          <w:b/>
          <w:szCs w:val="24"/>
        </w:rPr>
        <w:tab/>
      </w:r>
      <w:r w:rsidRPr="00AE44B0">
        <w:rPr>
          <w:rFonts w:cs="Times New Roman"/>
          <w:b/>
          <w:szCs w:val="24"/>
        </w:rPr>
        <w:tab/>
      </w:r>
      <w:r w:rsidRPr="00AE44B0">
        <w:rPr>
          <w:rFonts w:cs="Times New Roman"/>
          <w:b/>
          <w:szCs w:val="24"/>
        </w:rPr>
        <w:tab/>
        <w:t>No. EIB 21-27 (R)</w:t>
      </w:r>
    </w:p>
    <w:p w14:paraId="0B1C2D5F" w14:textId="77777777" w:rsidR="00D50984" w:rsidRPr="00AE44B0" w:rsidRDefault="00D50984" w:rsidP="00D50984">
      <w:pPr>
        <w:spacing w:line="240" w:lineRule="auto"/>
        <w:contextualSpacing/>
        <w:rPr>
          <w:rFonts w:cs="Times New Roman"/>
          <w:b/>
          <w:szCs w:val="24"/>
        </w:rPr>
      </w:pPr>
      <w:r w:rsidRPr="00AE44B0">
        <w:rPr>
          <w:rFonts w:cs="Times New Roman"/>
          <w:b/>
          <w:szCs w:val="24"/>
        </w:rPr>
        <w:t xml:space="preserve">SECTOR –OZONE PRECURSOR POLLUTANTS </w:t>
      </w:r>
    </w:p>
    <w:p w14:paraId="46967F95" w14:textId="550E74A8" w:rsidR="000F37AA" w:rsidRDefault="000F37AA"/>
    <w:p w14:paraId="269E25ED" w14:textId="1C21C739" w:rsidR="00BD1424" w:rsidRDefault="00BD1424"/>
    <w:p w14:paraId="56E48C2E" w14:textId="18E29C93" w:rsidR="00BD1424" w:rsidRDefault="00BD1424"/>
    <w:p w14:paraId="489D8167" w14:textId="5D7A29A1" w:rsidR="00BD1424" w:rsidRDefault="00BD1424"/>
    <w:p w14:paraId="329BDDD4" w14:textId="2099EDC7" w:rsidR="00BD1424" w:rsidRDefault="00BD1424"/>
    <w:p w14:paraId="4C43A403" w14:textId="59F7F42F" w:rsidR="00BD1424" w:rsidRDefault="00BD1424"/>
    <w:p w14:paraId="185F9AE6" w14:textId="77777777" w:rsidR="00BD1424" w:rsidRPr="00E31B2F" w:rsidRDefault="00BD1424"/>
    <w:p w14:paraId="7F9C4336" w14:textId="41AE413D" w:rsidR="00D50984" w:rsidRPr="00E31B2F" w:rsidRDefault="00D50984" w:rsidP="00D50984">
      <w:pPr>
        <w:spacing w:after="0"/>
        <w:jc w:val="center"/>
        <w:rPr>
          <w:b/>
          <w:bCs/>
        </w:rPr>
      </w:pPr>
      <w:r w:rsidRPr="00E31B2F">
        <w:rPr>
          <w:b/>
          <w:bCs/>
        </w:rPr>
        <w:t>INDEPENDENT PETROLEUM ASSOCIATION OF NEW MEXICO</w:t>
      </w:r>
    </w:p>
    <w:p w14:paraId="55098F9C" w14:textId="2816832D" w:rsidR="00D50984" w:rsidRPr="00BD1424" w:rsidRDefault="00D50984" w:rsidP="00D50984">
      <w:pPr>
        <w:spacing w:after="0"/>
        <w:jc w:val="center"/>
        <w:rPr>
          <w:b/>
          <w:bCs/>
        </w:rPr>
      </w:pPr>
      <w:r w:rsidRPr="00BD1424">
        <w:rPr>
          <w:b/>
          <w:bCs/>
        </w:rPr>
        <w:t>CLOSING ARGUMENTS AND PROPOSED STATEMENT OF REA</w:t>
      </w:r>
      <w:r w:rsidR="00571F6E" w:rsidRPr="00BD1424">
        <w:rPr>
          <w:b/>
          <w:bCs/>
        </w:rPr>
        <w:t>S</w:t>
      </w:r>
      <w:r w:rsidRPr="00BD1424">
        <w:rPr>
          <w:b/>
          <w:bCs/>
        </w:rPr>
        <w:t>ONS</w:t>
      </w:r>
    </w:p>
    <w:p w14:paraId="1794ACF8" w14:textId="26C62BA5" w:rsidR="00D50984" w:rsidRDefault="00D50984" w:rsidP="00F27DCA">
      <w:pPr>
        <w:spacing w:after="0" w:line="240" w:lineRule="auto"/>
        <w:rPr>
          <w:b/>
          <w:bCs/>
          <w:u w:val="single"/>
        </w:rPr>
      </w:pPr>
    </w:p>
    <w:p w14:paraId="1B85145D" w14:textId="5B6AE8D5" w:rsidR="00BD1424" w:rsidRDefault="00BD1424" w:rsidP="00F27DCA">
      <w:pPr>
        <w:spacing w:after="0" w:line="240" w:lineRule="auto"/>
        <w:rPr>
          <w:b/>
          <w:bCs/>
          <w:u w:val="single"/>
        </w:rPr>
      </w:pPr>
    </w:p>
    <w:p w14:paraId="2F73244C" w14:textId="6F44472E" w:rsidR="00BD1424" w:rsidRDefault="00BD1424" w:rsidP="00F27DCA">
      <w:pPr>
        <w:spacing w:after="0" w:line="240" w:lineRule="auto"/>
        <w:rPr>
          <w:b/>
          <w:bCs/>
          <w:u w:val="single"/>
        </w:rPr>
      </w:pPr>
    </w:p>
    <w:p w14:paraId="296BAC2B" w14:textId="22B8BC39" w:rsidR="00BD1424" w:rsidRDefault="00BD1424" w:rsidP="00F27DCA">
      <w:pPr>
        <w:spacing w:after="0" w:line="240" w:lineRule="auto"/>
        <w:rPr>
          <w:b/>
          <w:bCs/>
          <w:u w:val="single"/>
        </w:rPr>
      </w:pPr>
    </w:p>
    <w:p w14:paraId="24199EF1" w14:textId="05F33AED" w:rsidR="00BD1424" w:rsidRDefault="00BD1424" w:rsidP="00F27DCA">
      <w:pPr>
        <w:spacing w:after="0" w:line="240" w:lineRule="auto"/>
        <w:rPr>
          <w:b/>
          <w:bCs/>
          <w:u w:val="single"/>
        </w:rPr>
      </w:pPr>
    </w:p>
    <w:p w14:paraId="5F28527D" w14:textId="28F16EB0" w:rsidR="00BD1424" w:rsidRDefault="00BD1424" w:rsidP="00F27DCA">
      <w:pPr>
        <w:spacing w:after="0" w:line="240" w:lineRule="auto"/>
        <w:rPr>
          <w:b/>
          <w:bCs/>
          <w:u w:val="single"/>
        </w:rPr>
      </w:pPr>
    </w:p>
    <w:p w14:paraId="51301148" w14:textId="3C13CB9A" w:rsidR="00BD1424" w:rsidRDefault="00BD1424" w:rsidP="00F27DCA">
      <w:pPr>
        <w:spacing w:after="0" w:line="240" w:lineRule="auto"/>
        <w:rPr>
          <w:b/>
          <w:bCs/>
          <w:u w:val="single"/>
        </w:rPr>
      </w:pPr>
    </w:p>
    <w:p w14:paraId="5E76A19E" w14:textId="08231FF7" w:rsidR="00BD1424" w:rsidRDefault="00BD1424" w:rsidP="00F27DCA">
      <w:pPr>
        <w:spacing w:after="0" w:line="240" w:lineRule="auto"/>
        <w:rPr>
          <w:b/>
          <w:bCs/>
          <w:u w:val="single"/>
        </w:rPr>
      </w:pPr>
    </w:p>
    <w:p w14:paraId="468DF9FB" w14:textId="4FBBF550" w:rsidR="00BD1424" w:rsidRDefault="00BD1424" w:rsidP="00F27DCA">
      <w:pPr>
        <w:spacing w:after="0" w:line="240" w:lineRule="auto"/>
        <w:rPr>
          <w:b/>
          <w:bCs/>
          <w:u w:val="single"/>
        </w:rPr>
      </w:pPr>
    </w:p>
    <w:p w14:paraId="78BEE3D0" w14:textId="4E369607" w:rsidR="00BD1424" w:rsidRDefault="00BD1424" w:rsidP="00F27DCA">
      <w:pPr>
        <w:spacing w:after="0" w:line="240" w:lineRule="auto"/>
        <w:rPr>
          <w:b/>
          <w:bCs/>
          <w:u w:val="single"/>
        </w:rPr>
      </w:pPr>
    </w:p>
    <w:p w14:paraId="1F2660F0" w14:textId="1E619B3A" w:rsidR="00BD1424" w:rsidRDefault="00BD1424" w:rsidP="00F27DCA">
      <w:pPr>
        <w:spacing w:after="0" w:line="240" w:lineRule="auto"/>
        <w:rPr>
          <w:b/>
          <w:bCs/>
          <w:u w:val="single"/>
        </w:rPr>
      </w:pPr>
    </w:p>
    <w:p w14:paraId="218CB0DA" w14:textId="726A4EB1" w:rsidR="00BD1424" w:rsidRPr="00BD1424" w:rsidRDefault="00BD1424" w:rsidP="00BD1424">
      <w:pPr>
        <w:spacing w:after="0" w:line="240" w:lineRule="auto"/>
        <w:jc w:val="center"/>
      </w:pPr>
      <w:r>
        <w:t>January 20, 2022</w:t>
      </w:r>
    </w:p>
    <w:p w14:paraId="0964D220" w14:textId="77777777" w:rsidR="00BD1424" w:rsidRDefault="00BD1424">
      <w:pPr>
        <w:sectPr w:rsidR="00BD1424" w:rsidSect="00D26C4B">
          <w:footerReference w:type="default" r:id="rId8"/>
          <w:footerReference w:type="first" r:id="rId9"/>
          <w:pgSz w:w="12240" w:h="15840"/>
          <w:pgMar w:top="1440" w:right="1440" w:bottom="1440" w:left="1440" w:header="720" w:footer="720" w:gutter="0"/>
          <w:cols w:space="720"/>
          <w:titlePg/>
          <w:docGrid w:linePitch="360"/>
        </w:sectPr>
      </w:pPr>
      <w:r>
        <w:br w:type="page"/>
      </w:r>
    </w:p>
    <w:p w14:paraId="435CB885" w14:textId="5C2D1AA1" w:rsidR="00BD1424" w:rsidRPr="00BD1424" w:rsidRDefault="00BD1424" w:rsidP="00BD1424">
      <w:pPr>
        <w:pStyle w:val="TOC1"/>
        <w:rPr>
          <w:b/>
          <w:bCs/>
        </w:rPr>
      </w:pPr>
      <w:r>
        <w:rPr>
          <w:b/>
          <w:bCs/>
        </w:rPr>
        <w:lastRenderedPageBreak/>
        <w:t>TABLE OF CONTENTS</w:t>
      </w:r>
    </w:p>
    <w:p w14:paraId="2D3140C8" w14:textId="77777777" w:rsidR="00BD1424" w:rsidRPr="00BD1424" w:rsidRDefault="00BD1424" w:rsidP="00BD1424"/>
    <w:p w14:paraId="2AA4DEAE" w14:textId="756B411D" w:rsidR="009A6738" w:rsidRDefault="00BD1424">
      <w:pPr>
        <w:pStyle w:val="TOC1"/>
        <w:rPr>
          <w:rFonts w:asciiTheme="minorHAnsi" w:eastAsiaTheme="minorEastAsia" w:hAnsiTheme="minorHAnsi"/>
          <w:noProof/>
          <w:sz w:val="22"/>
        </w:rPr>
      </w:pPr>
      <w:r>
        <w:fldChar w:fldCharType="begin"/>
      </w:r>
      <w:r>
        <w:instrText xml:space="preserve"> TOC \o "1-3" \h \z \u </w:instrText>
      </w:r>
      <w:r>
        <w:fldChar w:fldCharType="separate"/>
      </w:r>
      <w:hyperlink w:anchor="_Toc93568138" w:history="1">
        <w:r w:rsidR="009A6738" w:rsidRPr="003F0314">
          <w:rPr>
            <w:rStyle w:val="Hyperlink"/>
            <w:noProof/>
          </w:rPr>
          <w:t>INTRODUCTION</w:t>
        </w:r>
        <w:r w:rsidR="009A6738">
          <w:rPr>
            <w:noProof/>
            <w:webHidden/>
          </w:rPr>
          <w:tab/>
        </w:r>
        <w:r w:rsidR="009A6738">
          <w:rPr>
            <w:noProof/>
            <w:webHidden/>
          </w:rPr>
          <w:fldChar w:fldCharType="begin"/>
        </w:r>
        <w:r w:rsidR="009A6738">
          <w:rPr>
            <w:noProof/>
            <w:webHidden/>
          </w:rPr>
          <w:instrText xml:space="preserve"> PAGEREF _Toc93568138 \h </w:instrText>
        </w:r>
        <w:r w:rsidR="009A6738">
          <w:rPr>
            <w:noProof/>
            <w:webHidden/>
          </w:rPr>
        </w:r>
        <w:r w:rsidR="009A6738">
          <w:rPr>
            <w:noProof/>
            <w:webHidden/>
          </w:rPr>
          <w:fldChar w:fldCharType="separate"/>
        </w:r>
        <w:r w:rsidR="00AA50AA">
          <w:rPr>
            <w:noProof/>
            <w:webHidden/>
          </w:rPr>
          <w:t>1</w:t>
        </w:r>
        <w:r w:rsidR="009A6738">
          <w:rPr>
            <w:noProof/>
            <w:webHidden/>
          </w:rPr>
          <w:fldChar w:fldCharType="end"/>
        </w:r>
      </w:hyperlink>
    </w:p>
    <w:p w14:paraId="11FF7CCD" w14:textId="1963FB67" w:rsidR="009A6738" w:rsidRDefault="00AA50AA">
      <w:pPr>
        <w:pStyle w:val="TOC1"/>
        <w:rPr>
          <w:rFonts w:asciiTheme="minorHAnsi" w:eastAsiaTheme="minorEastAsia" w:hAnsiTheme="minorHAnsi"/>
          <w:noProof/>
          <w:sz w:val="22"/>
        </w:rPr>
      </w:pPr>
      <w:hyperlink w:anchor="_Toc93568139" w:history="1">
        <w:r w:rsidR="009A6738" w:rsidRPr="003F0314">
          <w:rPr>
            <w:rStyle w:val="Hyperlink"/>
            <w:noProof/>
          </w:rPr>
          <w:t>STANDARD OF DECISION</w:t>
        </w:r>
        <w:r w:rsidR="009A6738">
          <w:rPr>
            <w:noProof/>
            <w:webHidden/>
          </w:rPr>
          <w:tab/>
        </w:r>
        <w:r w:rsidR="009A6738">
          <w:rPr>
            <w:noProof/>
            <w:webHidden/>
          </w:rPr>
          <w:fldChar w:fldCharType="begin"/>
        </w:r>
        <w:r w:rsidR="009A6738">
          <w:rPr>
            <w:noProof/>
            <w:webHidden/>
          </w:rPr>
          <w:instrText xml:space="preserve"> PAGEREF _Toc93568139 \h </w:instrText>
        </w:r>
        <w:r w:rsidR="009A6738">
          <w:rPr>
            <w:noProof/>
            <w:webHidden/>
          </w:rPr>
        </w:r>
        <w:r w:rsidR="009A6738">
          <w:rPr>
            <w:noProof/>
            <w:webHidden/>
          </w:rPr>
          <w:fldChar w:fldCharType="separate"/>
        </w:r>
        <w:r>
          <w:rPr>
            <w:noProof/>
            <w:webHidden/>
          </w:rPr>
          <w:t>2</w:t>
        </w:r>
        <w:r w:rsidR="009A6738">
          <w:rPr>
            <w:noProof/>
            <w:webHidden/>
          </w:rPr>
          <w:fldChar w:fldCharType="end"/>
        </w:r>
      </w:hyperlink>
    </w:p>
    <w:p w14:paraId="116371CF" w14:textId="2650EF38" w:rsidR="009A6738" w:rsidRDefault="00AA50AA">
      <w:pPr>
        <w:pStyle w:val="TOC1"/>
        <w:rPr>
          <w:rFonts w:asciiTheme="minorHAnsi" w:eastAsiaTheme="minorEastAsia" w:hAnsiTheme="minorHAnsi"/>
          <w:noProof/>
          <w:sz w:val="22"/>
        </w:rPr>
      </w:pPr>
      <w:hyperlink w:anchor="_Toc93568140" w:history="1">
        <w:r w:rsidR="009A6738" w:rsidRPr="003F0314">
          <w:rPr>
            <w:rStyle w:val="Hyperlink"/>
            <w:noProof/>
          </w:rPr>
          <w:t>DISCUSSION</w:t>
        </w:r>
        <w:r w:rsidR="009A6738">
          <w:rPr>
            <w:noProof/>
            <w:webHidden/>
          </w:rPr>
          <w:tab/>
        </w:r>
        <w:r w:rsidR="009A6738">
          <w:rPr>
            <w:noProof/>
            <w:webHidden/>
          </w:rPr>
          <w:fldChar w:fldCharType="begin"/>
        </w:r>
        <w:r w:rsidR="009A6738">
          <w:rPr>
            <w:noProof/>
            <w:webHidden/>
          </w:rPr>
          <w:instrText xml:space="preserve"> PAGEREF _Toc93568140 \h </w:instrText>
        </w:r>
        <w:r w:rsidR="009A6738">
          <w:rPr>
            <w:noProof/>
            <w:webHidden/>
          </w:rPr>
        </w:r>
        <w:r w:rsidR="009A6738">
          <w:rPr>
            <w:noProof/>
            <w:webHidden/>
          </w:rPr>
          <w:fldChar w:fldCharType="separate"/>
        </w:r>
        <w:r>
          <w:rPr>
            <w:noProof/>
            <w:webHidden/>
          </w:rPr>
          <w:t>4</w:t>
        </w:r>
        <w:r w:rsidR="009A6738">
          <w:rPr>
            <w:noProof/>
            <w:webHidden/>
          </w:rPr>
          <w:fldChar w:fldCharType="end"/>
        </w:r>
      </w:hyperlink>
    </w:p>
    <w:p w14:paraId="2F11C18E" w14:textId="3CD64E16" w:rsidR="009A6738" w:rsidRDefault="00AA50AA">
      <w:pPr>
        <w:pStyle w:val="TOC2"/>
        <w:rPr>
          <w:rFonts w:asciiTheme="minorHAnsi" w:eastAsiaTheme="minorEastAsia" w:hAnsiTheme="minorHAnsi"/>
          <w:noProof/>
          <w:sz w:val="22"/>
        </w:rPr>
      </w:pPr>
      <w:hyperlink w:anchor="_Toc93568141" w:history="1">
        <w:r w:rsidR="009A6738" w:rsidRPr="003F0314">
          <w:rPr>
            <w:rStyle w:val="Hyperlink"/>
            <w:noProof/>
          </w:rPr>
          <w:t>I.</w:t>
        </w:r>
        <w:r w:rsidR="009A6738">
          <w:rPr>
            <w:rFonts w:asciiTheme="minorHAnsi" w:eastAsiaTheme="minorEastAsia" w:hAnsiTheme="minorHAnsi"/>
            <w:noProof/>
            <w:sz w:val="22"/>
          </w:rPr>
          <w:tab/>
        </w:r>
        <w:r w:rsidR="009A6738" w:rsidRPr="003F0314">
          <w:rPr>
            <w:rStyle w:val="Hyperlink"/>
            <w:noProof/>
          </w:rPr>
          <w:t>If an area exceeds 95% of the ozone NAAQS, the Air Act requires the Board to adopt a plan, which can include regulations, to assure that the area does not become a nonattainment area, or if the area is nonattainment, it will attain and maintain the NAAQS.</w:t>
        </w:r>
        <w:r w:rsidR="009A6738">
          <w:rPr>
            <w:noProof/>
            <w:webHidden/>
          </w:rPr>
          <w:tab/>
        </w:r>
        <w:r w:rsidR="009A6738">
          <w:rPr>
            <w:noProof/>
            <w:webHidden/>
          </w:rPr>
          <w:fldChar w:fldCharType="begin"/>
        </w:r>
        <w:r w:rsidR="009A6738">
          <w:rPr>
            <w:noProof/>
            <w:webHidden/>
          </w:rPr>
          <w:instrText xml:space="preserve"> PAGEREF _Toc93568141 \h </w:instrText>
        </w:r>
        <w:r w:rsidR="009A6738">
          <w:rPr>
            <w:noProof/>
            <w:webHidden/>
          </w:rPr>
        </w:r>
        <w:r w:rsidR="009A6738">
          <w:rPr>
            <w:noProof/>
            <w:webHidden/>
          </w:rPr>
          <w:fldChar w:fldCharType="separate"/>
        </w:r>
        <w:r>
          <w:rPr>
            <w:noProof/>
            <w:webHidden/>
          </w:rPr>
          <w:t>4</w:t>
        </w:r>
        <w:r w:rsidR="009A6738">
          <w:rPr>
            <w:noProof/>
            <w:webHidden/>
          </w:rPr>
          <w:fldChar w:fldCharType="end"/>
        </w:r>
      </w:hyperlink>
    </w:p>
    <w:p w14:paraId="573B36A2" w14:textId="0461408B" w:rsidR="009A6738" w:rsidRDefault="00AA50AA">
      <w:pPr>
        <w:pStyle w:val="TOC2"/>
        <w:rPr>
          <w:rFonts w:asciiTheme="minorHAnsi" w:eastAsiaTheme="minorEastAsia" w:hAnsiTheme="minorHAnsi"/>
          <w:noProof/>
          <w:sz w:val="22"/>
        </w:rPr>
      </w:pPr>
      <w:hyperlink w:anchor="_Toc93568142" w:history="1">
        <w:r w:rsidR="009A6738" w:rsidRPr="003F0314">
          <w:rPr>
            <w:rStyle w:val="Hyperlink"/>
            <w:noProof/>
          </w:rPr>
          <w:t>II.</w:t>
        </w:r>
        <w:r w:rsidR="009A6738">
          <w:rPr>
            <w:rFonts w:asciiTheme="minorHAnsi" w:eastAsiaTheme="minorEastAsia" w:hAnsiTheme="minorHAnsi"/>
            <w:noProof/>
            <w:sz w:val="22"/>
          </w:rPr>
          <w:tab/>
        </w:r>
        <w:r w:rsidR="009A6738" w:rsidRPr="003F0314">
          <w:rPr>
            <w:rStyle w:val="Hyperlink"/>
            <w:noProof/>
          </w:rPr>
          <w:t>Modeling shows ambient concentrations under the 2028 base case with no additional controls meets the NAAQS; therefore, the proposed controls are not necessary.</w:t>
        </w:r>
        <w:r w:rsidR="009A6738">
          <w:rPr>
            <w:noProof/>
            <w:webHidden/>
          </w:rPr>
          <w:tab/>
        </w:r>
        <w:r w:rsidR="009A6738">
          <w:rPr>
            <w:noProof/>
            <w:webHidden/>
          </w:rPr>
          <w:fldChar w:fldCharType="begin"/>
        </w:r>
        <w:r w:rsidR="009A6738">
          <w:rPr>
            <w:noProof/>
            <w:webHidden/>
          </w:rPr>
          <w:instrText xml:space="preserve"> PAGEREF _Toc93568142 \h </w:instrText>
        </w:r>
        <w:r w:rsidR="009A6738">
          <w:rPr>
            <w:noProof/>
            <w:webHidden/>
          </w:rPr>
        </w:r>
        <w:r w:rsidR="009A6738">
          <w:rPr>
            <w:noProof/>
            <w:webHidden/>
          </w:rPr>
          <w:fldChar w:fldCharType="separate"/>
        </w:r>
        <w:r>
          <w:rPr>
            <w:noProof/>
            <w:webHidden/>
          </w:rPr>
          <w:t>8</w:t>
        </w:r>
        <w:r w:rsidR="009A6738">
          <w:rPr>
            <w:noProof/>
            <w:webHidden/>
          </w:rPr>
          <w:fldChar w:fldCharType="end"/>
        </w:r>
      </w:hyperlink>
    </w:p>
    <w:p w14:paraId="15ABBAB9" w14:textId="6F7AF0CE" w:rsidR="009A6738" w:rsidRDefault="00AA50AA">
      <w:pPr>
        <w:pStyle w:val="TOC2"/>
        <w:rPr>
          <w:rFonts w:asciiTheme="minorHAnsi" w:eastAsiaTheme="minorEastAsia" w:hAnsiTheme="minorHAnsi"/>
          <w:noProof/>
          <w:sz w:val="22"/>
        </w:rPr>
      </w:pPr>
      <w:hyperlink w:anchor="_Toc93568143" w:history="1">
        <w:r w:rsidR="009A6738" w:rsidRPr="003F0314">
          <w:rPr>
            <w:rStyle w:val="Hyperlink"/>
            <w:noProof/>
          </w:rPr>
          <w:t>III.</w:t>
        </w:r>
        <w:r w:rsidR="009A6738">
          <w:rPr>
            <w:rFonts w:asciiTheme="minorHAnsi" w:eastAsiaTheme="minorEastAsia" w:hAnsiTheme="minorHAnsi"/>
            <w:noProof/>
            <w:sz w:val="22"/>
          </w:rPr>
          <w:tab/>
        </w:r>
        <w:r w:rsidR="009A6738" w:rsidRPr="003F0314">
          <w:rPr>
            <w:rStyle w:val="Hyperlink"/>
            <w:noProof/>
          </w:rPr>
          <w:t>Methane is an irrelevant consideration in a rulemaking about VOC and NOx, precursors to ozone formation.</w:t>
        </w:r>
        <w:r w:rsidR="009A6738">
          <w:rPr>
            <w:noProof/>
            <w:webHidden/>
          </w:rPr>
          <w:tab/>
        </w:r>
        <w:r w:rsidR="009A6738">
          <w:rPr>
            <w:noProof/>
            <w:webHidden/>
          </w:rPr>
          <w:fldChar w:fldCharType="begin"/>
        </w:r>
        <w:r w:rsidR="009A6738">
          <w:rPr>
            <w:noProof/>
            <w:webHidden/>
          </w:rPr>
          <w:instrText xml:space="preserve"> PAGEREF _Toc93568143 \h </w:instrText>
        </w:r>
        <w:r w:rsidR="009A6738">
          <w:rPr>
            <w:noProof/>
            <w:webHidden/>
          </w:rPr>
        </w:r>
        <w:r w:rsidR="009A6738">
          <w:rPr>
            <w:noProof/>
            <w:webHidden/>
          </w:rPr>
          <w:fldChar w:fldCharType="separate"/>
        </w:r>
        <w:r>
          <w:rPr>
            <w:noProof/>
            <w:webHidden/>
          </w:rPr>
          <w:t>8</w:t>
        </w:r>
        <w:r w:rsidR="009A6738">
          <w:rPr>
            <w:noProof/>
            <w:webHidden/>
          </w:rPr>
          <w:fldChar w:fldCharType="end"/>
        </w:r>
      </w:hyperlink>
    </w:p>
    <w:p w14:paraId="782704D3" w14:textId="54B847DE" w:rsidR="009A6738" w:rsidRDefault="00AA50AA">
      <w:pPr>
        <w:pStyle w:val="TOC3"/>
        <w:rPr>
          <w:rFonts w:asciiTheme="minorHAnsi" w:eastAsiaTheme="minorEastAsia" w:hAnsiTheme="minorHAnsi"/>
          <w:noProof/>
          <w:sz w:val="22"/>
        </w:rPr>
      </w:pPr>
      <w:hyperlink w:anchor="_Toc93568144" w:history="1">
        <w:r w:rsidR="009A6738" w:rsidRPr="003F0314">
          <w:rPr>
            <w:rStyle w:val="Hyperlink"/>
            <w:noProof/>
          </w:rPr>
          <w:t>A.</w:t>
        </w:r>
        <w:r w:rsidR="009A6738">
          <w:rPr>
            <w:rFonts w:asciiTheme="minorHAnsi" w:eastAsiaTheme="minorEastAsia" w:hAnsiTheme="minorHAnsi"/>
            <w:noProof/>
            <w:sz w:val="22"/>
          </w:rPr>
          <w:tab/>
        </w:r>
        <w:r w:rsidR="009A6738" w:rsidRPr="003F0314">
          <w:rPr>
            <w:rStyle w:val="Hyperlink"/>
            <w:noProof/>
          </w:rPr>
          <w:t>The Board is limited to the express provisions of its statutory mandate in its rulemaking capacity.</w:t>
        </w:r>
        <w:r w:rsidR="009A6738">
          <w:rPr>
            <w:noProof/>
            <w:webHidden/>
          </w:rPr>
          <w:tab/>
        </w:r>
        <w:r w:rsidR="009A6738">
          <w:rPr>
            <w:noProof/>
            <w:webHidden/>
          </w:rPr>
          <w:fldChar w:fldCharType="begin"/>
        </w:r>
        <w:r w:rsidR="009A6738">
          <w:rPr>
            <w:noProof/>
            <w:webHidden/>
          </w:rPr>
          <w:instrText xml:space="preserve"> PAGEREF _Toc93568144 \h </w:instrText>
        </w:r>
        <w:r w:rsidR="009A6738">
          <w:rPr>
            <w:noProof/>
            <w:webHidden/>
          </w:rPr>
        </w:r>
        <w:r w:rsidR="009A6738">
          <w:rPr>
            <w:noProof/>
            <w:webHidden/>
          </w:rPr>
          <w:fldChar w:fldCharType="separate"/>
        </w:r>
        <w:r>
          <w:rPr>
            <w:noProof/>
            <w:webHidden/>
          </w:rPr>
          <w:t>10</w:t>
        </w:r>
        <w:r w:rsidR="009A6738">
          <w:rPr>
            <w:noProof/>
            <w:webHidden/>
          </w:rPr>
          <w:fldChar w:fldCharType="end"/>
        </w:r>
      </w:hyperlink>
    </w:p>
    <w:p w14:paraId="0BF106A5" w14:textId="607A2F08" w:rsidR="009A6738" w:rsidRDefault="00AA50AA">
      <w:pPr>
        <w:pStyle w:val="TOC3"/>
        <w:rPr>
          <w:rFonts w:asciiTheme="minorHAnsi" w:eastAsiaTheme="minorEastAsia" w:hAnsiTheme="minorHAnsi"/>
          <w:noProof/>
          <w:sz w:val="22"/>
        </w:rPr>
      </w:pPr>
      <w:hyperlink w:anchor="_Toc93568145" w:history="1">
        <w:r w:rsidR="009A6738" w:rsidRPr="003F0314">
          <w:rPr>
            <w:rStyle w:val="Hyperlink"/>
            <w:noProof/>
          </w:rPr>
          <w:t>B.</w:t>
        </w:r>
        <w:r w:rsidR="009A6738">
          <w:rPr>
            <w:rFonts w:asciiTheme="minorHAnsi" w:eastAsiaTheme="minorEastAsia" w:hAnsiTheme="minorHAnsi"/>
            <w:noProof/>
            <w:sz w:val="22"/>
          </w:rPr>
          <w:tab/>
        </w:r>
        <w:r w:rsidR="009A6738" w:rsidRPr="003F0314">
          <w:rPr>
            <w:rStyle w:val="Hyperlink"/>
            <w:noProof/>
          </w:rPr>
          <w:t>The Board may not formulate its rules based on reasons outside of its statutory mandate.</w:t>
        </w:r>
        <w:r w:rsidR="009A6738">
          <w:rPr>
            <w:noProof/>
            <w:webHidden/>
          </w:rPr>
          <w:tab/>
        </w:r>
        <w:r w:rsidR="009A6738">
          <w:rPr>
            <w:noProof/>
            <w:webHidden/>
          </w:rPr>
          <w:fldChar w:fldCharType="begin"/>
        </w:r>
        <w:r w:rsidR="009A6738">
          <w:rPr>
            <w:noProof/>
            <w:webHidden/>
          </w:rPr>
          <w:instrText xml:space="preserve"> PAGEREF _Toc93568145 \h </w:instrText>
        </w:r>
        <w:r w:rsidR="009A6738">
          <w:rPr>
            <w:noProof/>
            <w:webHidden/>
          </w:rPr>
        </w:r>
        <w:r w:rsidR="009A6738">
          <w:rPr>
            <w:noProof/>
            <w:webHidden/>
          </w:rPr>
          <w:fldChar w:fldCharType="separate"/>
        </w:r>
        <w:r>
          <w:rPr>
            <w:noProof/>
            <w:webHidden/>
          </w:rPr>
          <w:t>11</w:t>
        </w:r>
        <w:r w:rsidR="009A6738">
          <w:rPr>
            <w:noProof/>
            <w:webHidden/>
          </w:rPr>
          <w:fldChar w:fldCharType="end"/>
        </w:r>
      </w:hyperlink>
    </w:p>
    <w:p w14:paraId="3898A250" w14:textId="0FB859FF" w:rsidR="009A6738" w:rsidRDefault="00AA50AA">
      <w:pPr>
        <w:pStyle w:val="TOC3"/>
        <w:rPr>
          <w:rFonts w:asciiTheme="minorHAnsi" w:eastAsiaTheme="minorEastAsia" w:hAnsiTheme="minorHAnsi"/>
          <w:noProof/>
          <w:sz w:val="22"/>
        </w:rPr>
      </w:pPr>
      <w:hyperlink w:anchor="_Toc93568146" w:history="1">
        <w:r w:rsidR="009A6738" w:rsidRPr="003F0314">
          <w:rPr>
            <w:rStyle w:val="Hyperlink"/>
            <w:noProof/>
          </w:rPr>
          <w:t>C.</w:t>
        </w:r>
        <w:r w:rsidR="009A6738">
          <w:rPr>
            <w:rFonts w:asciiTheme="minorHAnsi" w:eastAsiaTheme="minorEastAsia" w:hAnsiTheme="minorHAnsi"/>
            <w:noProof/>
            <w:sz w:val="22"/>
          </w:rPr>
          <w:tab/>
        </w:r>
        <w:r w:rsidR="009A6738" w:rsidRPr="003F0314">
          <w:rPr>
            <w:rStyle w:val="Hyperlink"/>
            <w:noProof/>
          </w:rPr>
          <w:t>The Notice of Rulemaking Hearing does not include a possible action of adopting rules and regulations that pertain to and are supported by methane regulations.</w:t>
        </w:r>
        <w:r w:rsidR="009A6738">
          <w:rPr>
            <w:noProof/>
            <w:webHidden/>
          </w:rPr>
          <w:tab/>
        </w:r>
        <w:r w:rsidR="009A6738">
          <w:rPr>
            <w:noProof/>
            <w:webHidden/>
          </w:rPr>
          <w:fldChar w:fldCharType="begin"/>
        </w:r>
        <w:r w:rsidR="009A6738">
          <w:rPr>
            <w:noProof/>
            <w:webHidden/>
          </w:rPr>
          <w:instrText xml:space="preserve"> PAGEREF _Toc93568146 \h </w:instrText>
        </w:r>
        <w:r w:rsidR="009A6738">
          <w:rPr>
            <w:noProof/>
            <w:webHidden/>
          </w:rPr>
        </w:r>
        <w:r w:rsidR="009A6738">
          <w:rPr>
            <w:noProof/>
            <w:webHidden/>
          </w:rPr>
          <w:fldChar w:fldCharType="separate"/>
        </w:r>
        <w:r>
          <w:rPr>
            <w:noProof/>
            <w:webHidden/>
          </w:rPr>
          <w:t>12</w:t>
        </w:r>
        <w:r w:rsidR="009A6738">
          <w:rPr>
            <w:noProof/>
            <w:webHidden/>
          </w:rPr>
          <w:fldChar w:fldCharType="end"/>
        </w:r>
      </w:hyperlink>
    </w:p>
    <w:p w14:paraId="52979DA5" w14:textId="6257BD5F" w:rsidR="009A6738" w:rsidRDefault="00AA50AA">
      <w:pPr>
        <w:pStyle w:val="TOC2"/>
        <w:rPr>
          <w:rFonts w:asciiTheme="minorHAnsi" w:eastAsiaTheme="minorEastAsia" w:hAnsiTheme="minorHAnsi"/>
          <w:noProof/>
          <w:sz w:val="22"/>
        </w:rPr>
      </w:pPr>
      <w:hyperlink w:anchor="_Toc93568147" w:history="1">
        <w:r w:rsidR="009A6738" w:rsidRPr="003F0314">
          <w:rPr>
            <w:rStyle w:val="Hyperlink"/>
            <w:noProof/>
          </w:rPr>
          <w:t>IV.</w:t>
        </w:r>
        <w:r w:rsidR="009A6738">
          <w:rPr>
            <w:rFonts w:asciiTheme="minorHAnsi" w:eastAsiaTheme="minorEastAsia" w:hAnsiTheme="minorHAnsi"/>
            <w:noProof/>
            <w:sz w:val="22"/>
          </w:rPr>
          <w:tab/>
        </w:r>
        <w:r w:rsidR="009A6738" w:rsidRPr="003F0314">
          <w:rPr>
            <w:rStyle w:val="Hyperlink"/>
            <w:noProof/>
          </w:rPr>
          <w:t>The Board may only promulgate rules or regulations that are no more stringent than necessary to maintain the statutory standard.</w:t>
        </w:r>
        <w:r w:rsidR="009A6738">
          <w:rPr>
            <w:noProof/>
            <w:webHidden/>
          </w:rPr>
          <w:tab/>
        </w:r>
        <w:r w:rsidR="009A6738">
          <w:rPr>
            <w:noProof/>
            <w:webHidden/>
          </w:rPr>
          <w:fldChar w:fldCharType="begin"/>
        </w:r>
        <w:r w:rsidR="009A6738">
          <w:rPr>
            <w:noProof/>
            <w:webHidden/>
          </w:rPr>
          <w:instrText xml:space="preserve"> PAGEREF _Toc93568147 \h </w:instrText>
        </w:r>
        <w:r w:rsidR="009A6738">
          <w:rPr>
            <w:noProof/>
            <w:webHidden/>
          </w:rPr>
        </w:r>
        <w:r w:rsidR="009A6738">
          <w:rPr>
            <w:noProof/>
            <w:webHidden/>
          </w:rPr>
          <w:fldChar w:fldCharType="separate"/>
        </w:r>
        <w:r>
          <w:rPr>
            <w:noProof/>
            <w:webHidden/>
          </w:rPr>
          <w:t>14</w:t>
        </w:r>
        <w:r w:rsidR="009A6738">
          <w:rPr>
            <w:noProof/>
            <w:webHidden/>
          </w:rPr>
          <w:fldChar w:fldCharType="end"/>
        </w:r>
      </w:hyperlink>
    </w:p>
    <w:p w14:paraId="1D87A0D4" w14:textId="7C05F5D1" w:rsidR="009A6738" w:rsidRDefault="00AA50AA">
      <w:pPr>
        <w:pStyle w:val="TOC2"/>
        <w:rPr>
          <w:rFonts w:asciiTheme="minorHAnsi" w:eastAsiaTheme="minorEastAsia" w:hAnsiTheme="minorHAnsi"/>
          <w:noProof/>
          <w:sz w:val="22"/>
        </w:rPr>
      </w:pPr>
      <w:hyperlink w:anchor="_Toc93568148" w:history="1">
        <w:r w:rsidR="009A6738" w:rsidRPr="003F0314">
          <w:rPr>
            <w:rStyle w:val="Hyperlink"/>
            <w:noProof/>
          </w:rPr>
          <w:t>V.</w:t>
        </w:r>
        <w:r w:rsidR="009A6738">
          <w:rPr>
            <w:rFonts w:asciiTheme="minorHAnsi" w:eastAsiaTheme="minorEastAsia" w:hAnsiTheme="minorHAnsi"/>
            <w:noProof/>
            <w:sz w:val="22"/>
          </w:rPr>
          <w:tab/>
        </w:r>
        <w:r w:rsidR="009A6738" w:rsidRPr="003F0314">
          <w:rPr>
            <w:rStyle w:val="Hyperlink"/>
            <w:noProof/>
          </w:rPr>
          <w:t>The Board lacks authority to promulgate Section 125(G)</w:t>
        </w:r>
        <w:r w:rsidR="009A6738">
          <w:rPr>
            <w:noProof/>
            <w:webHidden/>
          </w:rPr>
          <w:tab/>
        </w:r>
        <w:r w:rsidR="009A6738">
          <w:rPr>
            <w:noProof/>
            <w:webHidden/>
          </w:rPr>
          <w:fldChar w:fldCharType="begin"/>
        </w:r>
        <w:r w:rsidR="009A6738">
          <w:rPr>
            <w:noProof/>
            <w:webHidden/>
          </w:rPr>
          <w:instrText xml:space="preserve"> PAGEREF _Toc93568148 \h </w:instrText>
        </w:r>
        <w:r w:rsidR="009A6738">
          <w:rPr>
            <w:noProof/>
            <w:webHidden/>
          </w:rPr>
        </w:r>
        <w:r w:rsidR="009A6738">
          <w:rPr>
            <w:noProof/>
            <w:webHidden/>
          </w:rPr>
          <w:fldChar w:fldCharType="separate"/>
        </w:r>
        <w:r>
          <w:rPr>
            <w:noProof/>
            <w:webHidden/>
          </w:rPr>
          <w:t>15</w:t>
        </w:r>
        <w:r w:rsidR="009A6738">
          <w:rPr>
            <w:noProof/>
            <w:webHidden/>
          </w:rPr>
          <w:fldChar w:fldCharType="end"/>
        </w:r>
      </w:hyperlink>
    </w:p>
    <w:p w14:paraId="7731AF57" w14:textId="208403B3" w:rsidR="009A6738" w:rsidRDefault="00AA50AA">
      <w:pPr>
        <w:pStyle w:val="TOC1"/>
        <w:rPr>
          <w:rFonts w:asciiTheme="minorHAnsi" w:eastAsiaTheme="minorEastAsia" w:hAnsiTheme="minorHAnsi"/>
          <w:noProof/>
          <w:sz w:val="22"/>
        </w:rPr>
      </w:pPr>
      <w:hyperlink w:anchor="_Toc93568149" w:history="1">
        <w:r w:rsidR="009A6738" w:rsidRPr="003F0314">
          <w:rPr>
            <w:rStyle w:val="Hyperlink"/>
            <w:noProof/>
          </w:rPr>
          <w:t>CONCLUSION</w:t>
        </w:r>
        <w:r w:rsidR="009A6738">
          <w:rPr>
            <w:noProof/>
            <w:webHidden/>
          </w:rPr>
          <w:tab/>
        </w:r>
        <w:r w:rsidR="009A6738">
          <w:rPr>
            <w:noProof/>
            <w:webHidden/>
          </w:rPr>
          <w:fldChar w:fldCharType="begin"/>
        </w:r>
        <w:r w:rsidR="009A6738">
          <w:rPr>
            <w:noProof/>
            <w:webHidden/>
          </w:rPr>
          <w:instrText xml:space="preserve"> PAGEREF _Toc93568149 \h </w:instrText>
        </w:r>
        <w:r w:rsidR="009A6738">
          <w:rPr>
            <w:noProof/>
            <w:webHidden/>
          </w:rPr>
        </w:r>
        <w:r w:rsidR="009A6738">
          <w:rPr>
            <w:noProof/>
            <w:webHidden/>
          </w:rPr>
          <w:fldChar w:fldCharType="separate"/>
        </w:r>
        <w:r>
          <w:rPr>
            <w:noProof/>
            <w:webHidden/>
          </w:rPr>
          <w:t>16</w:t>
        </w:r>
        <w:r w:rsidR="009A6738">
          <w:rPr>
            <w:noProof/>
            <w:webHidden/>
          </w:rPr>
          <w:fldChar w:fldCharType="end"/>
        </w:r>
      </w:hyperlink>
    </w:p>
    <w:p w14:paraId="0678BC1F" w14:textId="4820A400" w:rsidR="00BD1424" w:rsidRDefault="00BD1424" w:rsidP="00EE3179">
      <w:pPr>
        <w:spacing w:after="0" w:line="480" w:lineRule="auto"/>
        <w:ind w:firstLine="720"/>
        <w:jc w:val="both"/>
      </w:pPr>
      <w:r>
        <w:fldChar w:fldCharType="end"/>
      </w:r>
    </w:p>
    <w:p w14:paraId="2165CCD9" w14:textId="77777777" w:rsidR="00BD1424" w:rsidRDefault="00BD1424">
      <w:pPr>
        <w:sectPr w:rsidR="00BD1424" w:rsidSect="00BD1424">
          <w:footerReference w:type="first" r:id="rId10"/>
          <w:type w:val="continuous"/>
          <w:pgSz w:w="12240" w:h="15840"/>
          <w:pgMar w:top="1440" w:right="1440" w:bottom="1440" w:left="1440" w:header="720" w:footer="720" w:gutter="0"/>
          <w:pgNumType w:fmt="lowerRoman" w:start="1"/>
          <w:cols w:space="720"/>
          <w:titlePg/>
          <w:docGrid w:linePitch="360"/>
        </w:sectPr>
      </w:pPr>
      <w:r>
        <w:br w:type="page"/>
      </w:r>
    </w:p>
    <w:p w14:paraId="5B46C016" w14:textId="60D5A470" w:rsidR="00977774" w:rsidRPr="00977774" w:rsidRDefault="00F27DCA" w:rsidP="00EE3179">
      <w:pPr>
        <w:spacing w:after="0" w:line="480" w:lineRule="auto"/>
        <w:ind w:firstLine="720"/>
        <w:jc w:val="both"/>
      </w:pPr>
      <w:r>
        <w:lastRenderedPageBreak/>
        <w:t>The Independent Petroleum Association of New Mexico (“IPANM”), pursuant to 20.1.1.104 NMAC and the Procedural Order</w:t>
      </w:r>
      <w:r w:rsidR="00D26C4B">
        <w:t>s</w:t>
      </w:r>
      <w:r>
        <w:t xml:space="preserve"> issued</w:t>
      </w:r>
      <w:r w:rsidR="00D26C4B">
        <w:t xml:space="preserve"> August 25, </w:t>
      </w:r>
      <w:proofErr w:type="gramStart"/>
      <w:r w:rsidR="00D26C4B">
        <w:t>2021</w:t>
      </w:r>
      <w:proofErr w:type="gramEnd"/>
      <w:r w:rsidR="00D26C4B">
        <w:t xml:space="preserve"> and</w:t>
      </w:r>
      <w:r>
        <w:t xml:space="preserve"> November 22, 2021</w:t>
      </w:r>
      <w:r w:rsidR="00D26C4B">
        <w:t>,</w:t>
      </w:r>
      <w:r>
        <w:t xml:space="preserve"> hereby submits its Closing Arguments</w:t>
      </w:r>
      <w:r w:rsidR="005D5BEF">
        <w:t>,</w:t>
      </w:r>
      <w:r w:rsidR="00D26C4B">
        <w:t xml:space="preserve"> proposed final changes to 20.2.50 NMAC</w:t>
      </w:r>
      <w:r w:rsidR="00C944D5">
        <w:t xml:space="preserve"> (“Part 50”)</w:t>
      </w:r>
      <w:r w:rsidR="005D5BEF">
        <w:t>, and Statement of Reasons</w:t>
      </w:r>
      <w:r>
        <w:t>.  IPANM recommends that the Environmental Improvement Board (“EIB” or “Board”)</w:t>
      </w:r>
      <w:r w:rsidR="00AA65EF">
        <w:t xml:space="preserve"> reject the New Mexico Environment Department’s (“NMED” or the “</w:t>
      </w:r>
      <w:r w:rsidR="00EF300C">
        <w:t>Department”</w:t>
      </w:r>
      <w:r w:rsidR="00AA65EF">
        <w:t>) proposed plan for assuring attainment or maintenance of the federal National Ambient Air Quality Standard (“NAAQS”) for ozone and</w:t>
      </w:r>
      <w:r w:rsidR="00D26C4B">
        <w:t xml:space="preserve"> </w:t>
      </w:r>
      <w:r w:rsidR="00B029F7">
        <w:t xml:space="preserve">either delay deciding on the proposed rule until the plan is adopted, or in the alternative, </w:t>
      </w:r>
      <w:r w:rsidR="00D26C4B">
        <w:t xml:space="preserve">adopt the 20.2.50 NMAC as </w:t>
      </w:r>
      <w:r w:rsidR="00B029F7">
        <w:t>proposed by IPANM</w:t>
      </w:r>
      <w:r w:rsidR="001B17DA">
        <w:t xml:space="preserve"> in Exhibit A</w:t>
      </w:r>
      <w:r w:rsidR="00E41C8C">
        <w:t>.</w:t>
      </w:r>
    </w:p>
    <w:p w14:paraId="370F1C5D" w14:textId="6842AAB8" w:rsidR="00D50984" w:rsidRDefault="00CE009E" w:rsidP="00D26C4B">
      <w:pPr>
        <w:pStyle w:val="Heading1"/>
      </w:pPr>
      <w:bookmarkStart w:id="0" w:name="_Toc93568138"/>
      <w:r>
        <w:t>INTRODUCTION</w:t>
      </w:r>
      <w:bookmarkEnd w:id="0"/>
    </w:p>
    <w:p w14:paraId="42681FEC" w14:textId="62732551" w:rsidR="00D26C4B" w:rsidRPr="00D26C4B" w:rsidRDefault="00D26C4B" w:rsidP="00D26C4B">
      <w:pPr>
        <w:spacing w:after="0"/>
      </w:pPr>
    </w:p>
    <w:p w14:paraId="5D336D63" w14:textId="211C2986" w:rsidR="00E2126A" w:rsidRDefault="00571F6E" w:rsidP="00E2126A">
      <w:pPr>
        <w:spacing w:after="0" w:line="480" w:lineRule="auto"/>
        <w:ind w:firstLine="720"/>
        <w:jc w:val="both"/>
      </w:pPr>
      <w:r>
        <w:t xml:space="preserve">IPANM is an association of independent oil and natural gas producers in New Mexico.  </w:t>
      </w:r>
      <w:r w:rsidR="00FB5860">
        <w:t>IPANM works to protect, defend</w:t>
      </w:r>
      <w:r w:rsidR="00C944D5">
        <w:t>,</w:t>
      </w:r>
      <w:r w:rsidR="00FB5860">
        <w:t xml:space="preserve"> and promote the oil and gas industry in New Mexico.  As part of its mission, IPANM is an active member in the industry community that partakes in the public rulemaking process in New Mexico.  </w:t>
      </w:r>
      <w:r w:rsidR="0030435A">
        <w:t>Members of IPANM participated in the stakeholder engagement process for this rulemaking as member</w:t>
      </w:r>
      <w:r w:rsidR="00405C9B">
        <w:t>s</w:t>
      </w:r>
      <w:r w:rsidR="0030435A">
        <w:t xml:space="preserve"> of the Methane Advisory Panel (“MAP”)</w:t>
      </w:r>
      <w:r w:rsidR="00977774">
        <w:t xml:space="preserve"> and by providing comments to NMED.  IPANM also participated in the Four Corners Air Quality Task Force.  </w:t>
      </w:r>
      <w:r w:rsidR="00B029F7">
        <w:t>IPANM</w:t>
      </w:r>
      <w:r w:rsidR="00977774">
        <w:t xml:space="preserve"> believes its participation in this rulemaking process is critical for achieving a well-balanced </w:t>
      </w:r>
      <w:r w:rsidR="00C944D5">
        <w:t>Part 50</w:t>
      </w:r>
      <w:r w:rsidR="00977774">
        <w:t xml:space="preserve">. </w:t>
      </w:r>
    </w:p>
    <w:p w14:paraId="2D33E999" w14:textId="220C328D" w:rsidR="00D26C4B" w:rsidRDefault="00D26C4B" w:rsidP="00E41C8C">
      <w:pPr>
        <w:spacing w:after="0" w:line="480" w:lineRule="auto"/>
        <w:ind w:firstLine="720"/>
        <w:jc w:val="both"/>
      </w:pPr>
      <w:r>
        <w:t xml:space="preserve">IPANM supports well-balanced and effective regulations to control ozone from oil and gas operations in New Mexico.  </w:t>
      </w:r>
      <w:r w:rsidR="00D42FE0">
        <w:t xml:space="preserve">IPANM does not oppose regulations necessary to assure that areas </w:t>
      </w:r>
      <w:r w:rsidR="00EF300C">
        <w:t xml:space="preserve">of the state </w:t>
      </w:r>
      <w:r w:rsidR="00D42FE0">
        <w:t>with a design value greater than 95 percent of the federal ozone NAAQS do not exceed the NAAQS.  However, IPANM does not believe that the regulation of VOC emission</w:t>
      </w:r>
      <w:r w:rsidR="00405C9B">
        <w:t>s</w:t>
      </w:r>
      <w:r w:rsidR="00D42FE0">
        <w:t xml:space="preserve"> from the oil and gas sector alone </w:t>
      </w:r>
      <w:r w:rsidR="00B029F7">
        <w:t>will</w:t>
      </w:r>
      <w:r w:rsidR="00D42FE0">
        <w:t xml:space="preserve"> accomplish that task.  IPANM’s review of the </w:t>
      </w:r>
      <w:r w:rsidR="00E41C8C">
        <w:t xml:space="preserve">proposed regulations shows that the regulations are primarily directed at reducing VOC emissions.  </w:t>
      </w:r>
      <w:r w:rsidR="00EF300C">
        <w:t xml:space="preserve">A </w:t>
      </w:r>
      <w:r w:rsidR="00E41C8C">
        <w:t xml:space="preserve">reduction in VOC </w:t>
      </w:r>
      <w:r w:rsidR="00E41C8C">
        <w:lastRenderedPageBreak/>
        <w:t xml:space="preserve">emissions will </w:t>
      </w:r>
      <w:r w:rsidR="00EF300C">
        <w:t xml:space="preserve">not significantly </w:t>
      </w:r>
      <w:r w:rsidR="00E41C8C">
        <w:t>lower ozone concentrations in the Southeast and Northwest</w:t>
      </w:r>
      <w:r w:rsidR="00C944D5">
        <w:t xml:space="preserve"> regions of New Mexico</w:t>
      </w:r>
      <w:r w:rsidR="00E41C8C">
        <w:t xml:space="preserve"> or assure that the areas do not become nonattainment areas for ozone. </w:t>
      </w:r>
      <w:r w:rsidR="00451E31">
        <w:t>Further, its review of regulations shows that t</w:t>
      </w:r>
      <w:r w:rsidR="00B029F7">
        <w:t xml:space="preserve">he proposed NOx reductions </w:t>
      </w:r>
      <w:r w:rsidR="00451E31">
        <w:t>will have little impact on ozone concentrations.  Most of the ozone in the Southeast and Northwest areas of the state are attributable to sources (natural and anthropogenic) that are outside the state and the Board’s authority.</w:t>
      </w:r>
    </w:p>
    <w:p w14:paraId="63B1D5FE" w14:textId="0ADF1EAA" w:rsidR="00CE009E" w:rsidRDefault="00CE009E" w:rsidP="00CE009E">
      <w:pPr>
        <w:pStyle w:val="Heading1"/>
      </w:pPr>
      <w:bookmarkStart w:id="1" w:name="_Toc93568139"/>
      <w:r>
        <w:t>STANDARD OF DECISION</w:t>
      </w:r>
      <w:bookmarkEnd w:id="1"/>
    </w:p>
    <w:p w14:paraId="2CA805AC" w14:textId="369BF7A0" w:rsidR="00CE009E" w:rsidRDefault="00CE009E" w:rsidP="002A622D">
      <w:pPr>
        <w:spacing w:after="0" w:line="240" w:lineRule="auto"/>
      </w:pPr>
      <w:r>
        <w:tab/>
      </w:r>
    </w:p>
    <w:p w14:paraId="0F22F0E5" w14:textId="4CE931EA" w:rsidR="00405C9B" w:rsidRDefault="002A622D" w:rsidP="00C758AA">
      <w:pPr>
        <w:spacing w:after="0" w:line="480" w:lineRule="auto"/>
        <w:jc w:val="both"/>
      </w:pPr>
      <w:r>
        <w:tab/>
        <w:t xml:space="preserve">This rulemaking process is governed by </w:t>
      </w:r>
      <w:r w:rsidR="00451E31">
        <w:t xml:space="preserve">the Air Quality Control Act (“Air Act”), </w:t>
      </w:r>
      <w:r w:rsidR="003878E7">
        <w:t>Section 74-2 NMSA</w:t>
      </w:r>
      <w:r w:rsidR="00451E31">
        <w:t xml:space="preserve">, and </w:t>
      </w:r>
      <w:r w:rsidR="001E19A0">
        <w:t xml:space="preserve">the Board’s rulemaking regulations, </w:t>
      </w:r>
      <w:r w:rsidR="00451E31">
        <w:t>20.1.1 NMAC</w:t>
      </w:r>
      <w:r w:rsidR="00C16FDA">
        <w:t xml:space="preserve">.  </w:t>
      </w:r>
      <w:r w:rsidR="003878E7">
        <w:t xml:space="preserve">The Board </w:t>
      </w:r>
      <w:r w:rsidR="001E19A0">
        <w:t>is obligated to</w:t>
      </w:r>
      <w:r w:rsidR="003878E7">
        <w:t xml:space="preserve"> adopt rules consistent with the Air Act “to attain and maintain [NAAQS] and prevent or abate air pollution.</w:t>
      </w:r>
      <w:r w:rsidR="001E19A0">
        <w:rPr>
          <w:rStyle w:val="FootnoteReference"/>
        </w:rPr>
        <w:footnoteReference w:id="1"/>
      </w:r>
      <w:r w:rsidR="003878E7">
        <w:t>”  NMSA 1978, § 74-2-5(B)(1) (2021).</w:t>
      </w:r>
      <w:r w:rsidR="00405C9B">
        <w:t xml:space="preserve">  Section 74-2-5(C)</w:t>
      </w:r>
      <w:r w:rsidR="00691561">
        <w:t xml:space="preserve"> provides</w:t>
      </w:r>
      <w:r w:rsidR="00405C9B">
        <w:t xml:space="preserve"> </w:t>
      </w:r>
      <w:r w:rsidR="00D555E7">
        <w:t xml:space="preserve">in </w:t>
      </w:r>
      <w:r w:rsidR="00405C9B">
        <w:t>relevant part:</w:t>
      </w:r>
    </w:p>
    <w:p w14:paraId="7F5849B7" w14:textId="1CAF5DD2" w:rsidR="00405C9B" w:rsidRDefault="00405C9B" w:rsidP="00405C9B">
      <w:pPr>
        <w:pStyle w:val="NormalWeb"/>
        <w:spacing w:before="0" w:beforeAutospacing="0" w:after="0" w:afterAutospacing="0"/>
        <w:ind w:left="720" w:right="720"/>
        <w:jc w:val="both"/>
        <w:rPr>
          <w:rFonts w:ascii="Arial" w:hAnsi="Arial" w:cs="Arial"/>
          <w:sz w:val="20"/>
          <w:szCs w:val="20"/>
        </w:rPr>
      </w:pPr>
      <w:r w:rsidRPr="00405C9B">
        <w:rPr>
          <w:rStyle w:val="cf01"/>
          <w:rFonts w:ascii="Times New Roman" w:hAnsi="Times New Roman" w:cs="Times New Roman"/>
          <w:sz w:val="24"/>
          <w:szCs w:val="24"/>
        </w:rPr>
        <w:t xml:space="preserve">If the environmental improvement board </w:t>
      </w:r>
      <w:r w:rsidR="00451E31">
        <w:rPr>
          <w:rStyle w:val="cf01"/>
          <w:rFonts w:ascii="Times New Roman" w:hAnsi="Times New Roman" w:cs="Times New Roman"/>
          <w:sz w:val="24"/>
          <w:szCs w:val="24"/>
        </w:rPr>
        <w:t>. . .</w:t>
      </w:r>
      <w:r w:rsidRPr="00405C9B">
        <w:rPr>
          <w:rStyle w:val="cf01"/>
          <w:rFonts w:ascii="Times New Roman" w:hAnsi="Times New Roman" w:cs="Times New Roman"/>
          <w:sz w:val="24"/>
          <w:szCs w:val="24"/>
        </w:rPr>
        <w:t xml:space="preserve"> determines that emissions from sources within the environmental improvement board's jurisdiction </w:t>
      </w:r>
      <w:r w:rsidR="001C16C0">
        <w:rPr>
          <w:rStyle w:val="cf01"/>
          <w:rFonts w:ascii="Times New Roman" w:hAnsi="Times New Roman" w:cs="Times New Roman"/>
          <w:sz w:val="24"/>
          <w:szCs w:val="24"/>
        </w:rPr>
        <w:t xml:space="preserve">. . . </w:t>
      </w:r>
      <w:r w:rsidRPr="00405C9B">
        <w:rPr>
          <w:rStyle w:val="cf01"/>
          <w:rFonts w:ascii="Times New Roman" w:hAnsi="Times New Roman" w:cs="Times New Roman"/>
          <w:sz w:val="24"/>
          <w:szCs w:val="24"/>
        </w:rPr>
        <w:t xml:space="preserve">cause or contribute to ozone concentrations in excess of ninety-five percent of the primary national ambient air quality standard for ozone promulgated pursuant to the federal act, the environmental improvement board </w:t>
      </w:r>
      <w:r w:rsidR="001C16C0">
        <w:rPr>
          <w:rStyle w:val="cf01"/>
          <w:rFonts w:ascii="Times New Roman" w:hAnsi="Times New Roman" w:cs="Times New Roman"/>
          <w:sz w:val="24"/>
          <w:szCs w:val="24"/>
        </w:rPr>
        <w:t>. . .</w:t>
      </w:r>
      <w:r w:rsidRPr="00405C9B">
        <w:rPr>
          <w:rStyle w:val="cf01"/>
          <w:rFonts w:ascii="Times New Roman" w:hAnsi="Times New Roman" w:cs="Times New Roman"/>
          <w:sz w:val="24"/>
          <w:szCs w:val="24"/>
        </w:rPr>
        <w:t xml:space="preserve"> shall adopt a plan, including rules, to control emissions of oxides of nitrogen and volatile organic compounds to provide for attainment and maintenance of the standard. Rules adopted pursuant to this subsection shall be limited to sources of emissions within the area of the state where the ozone concentrations exceed ninety-five percent of the primary national ambient air quality standard</w:t>
      </w:r>
      <w:r>
        <w:rPr>
          <w:rStyle w:val="cf01"/>
        </w:rPr>
        <w:t>.</w:t>
      </w:r>
    </w:p>
    <w:p w14:paraId="06811248" w14:textId="77777777" w:rsidR="00405C9B" w:rsidRDefault="00405C9B" w:rsidP="00405C9B">
      <w:pPr>
        <w:spacing w:after="0" w:line="240" w:lineRule="auto"/>
        <w:jc w:val="both"/>
      </w:pPr>
    </w:p>
    <w:p w14:paraId="4B736ED8" w14:textId="77777777" w:rsidR="00EF300C" w:rsidRDefault="00405C9B" w:rsidP="00C758AA">
      <w:pPr>
        <w:spacing w:after="0" w:line="480" w:lineRule="auto"/>
        <w:jc w:val="both"/>
      </w:pPr>
      <w:r>
        <w:t>§ 74-</w:t>
      </w:r>
      <w:r w:rsidR="0018247C">
        <w:t xml:space="preserve">2-5(C).  </w:t>
      </w:r>
      <w:r w:rsidR="003878E7">
        <w:t xml:space="preserve"> </w:t>
      </w:r>
    </w:p>
    <w:p w14:paraId="3A237259" w14:textId="4AD5C3D0" w:rsidR="001C16C0" w:rsidRPr="001C16C0" w:rsidRDefault="001C16C0" w:rsidP="001C16C0">
      <w:pPr>
        <w:spacing w:after="0" w:line="480" w:lineRule="auto"/>
        <w:ind w:firstLine="720"/>
        <w:jc w:val="both"/>
      </w:pPr>
      <w:r>
        <w:t xml:space="preserve">Under the Air Act and the Board’s regulations, </w:t>
      </w:r>
      <w:r w:rsidR="00C16FDA">
        <w:t>“</w:t>
      </w:r>
      <w:r>
        <w:t>[a]</w:t>
      </w:r>
      <w:proofErr w:type="spellStart"/>
      <w:r w:rsidR="00C16FDA">
        <w:t>ny</w:t>
      </w:r>
      <w:proofErr w:type="spellEnd"/>
      <w:r w:rsidR="00C16FDA">
        <w:t xml:space="preserve"> person may file a petition with the Board to adopt, amend or repeal any regulation within the jurisdiction of the Board.”  20.1.1.300 NMAC.  </w:t>
      </w:r>
      <w:r w:rsidRPr="001C16C0">
        <w:t xml:space="preserve">The </w:t>
      </w:r>
      <w:r w:rsidR="00FE3672">
        <w:t>Board</w:t>
      </w:r>
      <w:r w:rsidRPr="001C16C0">
        <w:t xml:space="preserve"> </w:t>
      </w:r>
      <w:r w:rsidR="00FE3672">
        <w:t>“</w:t>
      </w:r>
      <w:r w:rsidRPr="001C16C0">
        <w:t xml:space="preserve">shall determine, at a public meeting occurring at least 15 days and no later than 60 days, after receipt of the petition, whether or not to hold a public hearing on the </w:t>
      </w:r>
      <w:r w:rsidRPr="001C16C0">
        <w:lastRenderedPageBreak/>
        <w:t>proposal.  Any person may respond to the petition either in writing prior to the public meeting or in person at the public meeting.</w:t>
      </w:r>
      <w:r w:rsidR="00FE3672">
        <w:t>”  “</w:t>
      </w:r>
      <w:r w:rsidRPr="001C16C0">
        <w:t>If the board determines to hold a public hearing on the petition, it may issue such orders specifying procedures for conduct of the hearing, in addition to those provided by this part, as may be necessary and appropriate to fully inform the board of the matters at issue in the hearing or control the conduct of the hearing.  Such orders may include requirements for giving additional public notice, holding pre-hearing conferences, filing direct testimony in writing prior to the hearing, or limiting testimony or cross-examination</w:t>
      </w:r>
      <w:r w:rsidR="00FE3672">
        <w:t>.”  20.1.1.300(C) &amp; (D) NMAC.</w:t>
      </w:r>
    </w:p>
    <w:p w14:paraId="37C106F3" w14:textId="0F52A02B" w:rsidR="003878E7" w:rsidRDefault="003878E7" w:rsidP="00EF300C">
      <w:pPr>
        <w:spacing w:after="0" w:line="480" w:lineRule="auto"/>
        <w:ind w:firstLine="720"/>
        <w:jc w:val="both"/>
      </w:pPr>
      <w:r>
        <w:t xml:space="preserve">When the Board makes its rules, it must give </w:t>
      </w:r>
      <w:r w:rsidR="006313C8">
        <w:t xml:space="preserve">appropriate </w:t>
      </w:r>
      <w:r>
        <w:t xml:space="preserve">weight to all facts and circumstances, including: </w:t>
      </w:r>
    </w:p>
    <w:p w14:paraId="07D6EA77" w14:textId="77777777" w:rsidR="003878E7" w:rsidRDefault="003878E7" w:rsidP="006313C8">
      <w:pPr>
        <w:spacing w:after="0" w:line="240" w:lineRule="auto"/>
        <w:ind w:left="720" w:right="720"/>
        <w:jc w:val="both"/>
      </w:pPr>
      <w:r>
        <w:t xml:space="preserve">(1)       character and degree of injury to or interference with health, welfare, visibility and </w:t>
      </w:r>
      <w:proofErr w:type="gramStart"/>
      <w:r>
        <w:t>property;</w:t>
      </w:r>
      <w:proofErr w:type="gramEnd"/>
    </w:p>
    <w:p w14:paraId="65931790" w14:textId="77777777" w:rsidR="003878E7" w:rsidRDefault="003878E7" w:rsidP="006313C8">
      <w:pPr>
        <w:spacing w:after="0" w:line="240" w:lineRule="auto"/>
        <w:ind w:left="720" w:right="720"/>
        <w:jc w:val="both"/>
      </w:pPr>
      <w:r>
        <w:t>(2)       the public interest, including the social and economic value of the sources and subjects of air contaminants; and</w:t>
      </w:r>
    </w:p>
    <w:p w14:paraId="10C5ADF2" w14:textId="7C271AA5" w:rsidR="003878E7" w:rsidRDefault="003878E7" w:rsidP="006313C8">
      <w:pPr>
        <w:spacing w:after="0" w:line="240" w:lineRule="auto"/>
        <w:ind w:left="720" w:right="720"/>
        <w:jc w:val="both"/>
      </w:pPr>
      <w:r>
        <w:t>(3)       technical practicability and economic reasonableness of reducing or eliminating air contaminants from the sources involved and previous experience with equipment and methods available to control the air contaminants involved.</w:t>
      </w:r>
    </w:p>
    <w:p w14:paraId="03362FE6" w14:textId="50D829A6" w:rsidR="003878E7" w:rsidRDefault="003878E7" w:rsidP="003878E7">
      <w:pPr>
        <w:spacing w:after="0" w:line="240" w:lineRule="auto"/>
        <w:ind w:right="720"/>
        <w:jc w:val="both"/>
      </w:pPr>
    </w:p>
    <w:p w14:paraId="36921DFA" w14:textId="77777777" w:rsidR="00511732" w:rsidRDefault="003878E7" w:rsidP="00F43630">
      <w:pPr>
        <w:spacing w:after="0" w:line="480" w:lineRule="auto"/>
        <w:ind w:right="720"/>
        <w:jc w:val="both"/>
      </w:pPr>
      <w:r>
        <w:t xml:space="preserve">§ 74-2-5(F).  </w:t>
      </w:r>
    </w:p>
    <w:p w14:paraId="0FC2ADC3" w14:textId="109B72DC" w:rsidR="003878E7" w:rsidRDefault="00F43630" w:rsidP="00511732">
      <w:pPr>
        <w:spacing w:after="0" w:line="480" w:lineRule="auto"/>
        <w:ind w:firstLine="720"/>
        <w:jc w:val="both"/>
      </w:pPr>
      <w:r>
        <w:t xml:space="preserve">Finally, before the Board adopts a rule that is to be more stringent than the federal act or regulations, the Board must “make a determination, based on substantial evidence and after notice and public hearing, that the proposed rule will be more protective of public health and the environment.”  § 74-2-5(G).  </w:t>
      </w:r>
    </w:p>
    <w:p w14:paraId="72384A30" w14:textId="24DBA015" w:rsidR="00F23E2C" w:rsidRDefault="00F23E2C" w:rsidP="00DA617F">
      <w:pPr>
        <w:pStyle w:val="Heading1"/>
        <w:keepNext/>
        <w:keepLines/>
        <w:spacing w:line="240" w:lineRule="auto"/>
      </w:pPr>
      <w:bookmarkStart w:id="2" w:name="_Toc93568140"/>
      <w:r>
        <w:lastRenderedPageBreak/>
        <w:t>DISCUSSION</w:t>
      </w:r>
      <w:bookmarkEnd w:id="2"/>
    </w:p>
    <w:p w14:paraId="189916C7" w14:textId="77777777" w:rsidR="00C469F0" w:rsidRPr="00C469F0" w:rsidRDefault="00C469F0" w:rsidP="00DA617F">
      <w:pPr>
        <w:keepNext/>
        <w:keepLines/>
        <w:spacing w:after="0"/>
      </w:pPr>
    </w:p>
    <w:p w14:paraId="56B849E5" w14:textId="2B7BD52F" w:rsidR="00CE461D" w:rsidRDefault="007D03D0" w:rsidP="00DA617F">
      <w:pPr>
        <w:pStyle w:val="Heading2"/>
        <w:keepNext/>
        <w:keepLines/>
        <w:spacing w:line="240" w:lineRule="auto"/>
        <w:jc w:val="both"/>
      </w:pPr>
      <w:bookmarkStart w:id="3" w:name="_Toc93568141"/>
      <w:r>
        <w:t xml:space="preserve">If an area exceeds 95% of the ozone NAAQS, the </w:t>
      </w:r>
      <w:r w:rsidR="00511732">
        <w:t>Air Act</w:t>
      </w:r>
      <w:r>
        <w:t xml:space="preserve"> requires the Board to adopt a plan, which can include regulations, to assure that the area does not become a nonattainment area, or if the area is nonattainment, it will attain and maintain the NAAQS.</w:t>
      </w:r>
      <w:bookmarkEnd w:id="3"/>
      <w:r>
        <w:t xml:space="preserve">  </w:t>
      </w:r>
    </w:p>
    <w:p w14:paraId="39E05E13" w14:textId="77777777" w:rsidR="00B27CC7" w:rsidRPr="00B27CC7" w:rsidRDefault="00B27CC7" w:rsidP="00DA617F">
      <w:pPr>
        <w:keepNext/>
        <w:keepLines/>
        <w:spacing w:after="0"/>
      </w:pPr>
    </w:p>
    <w:p w14:paraId="00657773" w14:textId="58D17AD8" w:rsidR="007B4B69" w:rsidRDefault="001D795C" w:rsidP="00DA617F">
      <w:pPr>
        <w:keepNext/>
        <w:keepLines/>
        <w:spacing w:after="0" w:line="480" w:lineRule="auto"/>
        <w:ind w:firstLine="720"/>
        <w:jc w:val="both"/>
      </w:pPr>
      <w:r>
        <w:t>Section 74-2-5</w:t>
      </w:r>
      <w:r w:rsidR="00FE3672">
        <w:t>(C)</w:t>
      </w:r>
      <w:r>
        <w:t xml:space="preserve"> </w:t>
      </w:r>
      <w:r w:rsidR="00F57E9B">
        <w:t xml:space="preserve">requires the Board to </w:t>
      </w:r>
      <w:r w:rsidR="00DA4600">
        <w:t>“</w:t>
      </w:r>
      <w:r w:rsidR="007B4B69" w:rsidRPr="007B4B69">
        <w:t xml:space="preserve">adopt a plan, including rules, to control emissions of oxides of nitrogen and volatile organic compounds to provide for attainment and maintenance of the </w:t>
      </w:r>
      <w:r w:rsidR="00DA617F">
        <w:t>ozone NAAQS</w:t>
      </w:r>
      <w:r w:rsidR="007B4B69" w:rsidRPr="007B4B69">
        <w:t>.  Rules adopted pursuant to this subsection shall be limited to sources of emissions within the area of the state where the ozone concentrations exceed ninety-five percent of the primary national ambient air quality standard.</w:t>
      </w:r>
      <w:r w:rsidR="00DA4600">
        <w:t xml:space="preserve">”  </w:t>
      </w:r>
      <w:r w:rsidR="00EF300C">
        <w:rPr>
          <w:i/>
          <w:iCs/>
        </w:rPr>
        <w:t xml:space="preserve">Id.  </w:t>
      </w:r>
      <w:r w:rsidR="00DA4600">
        <w:t>While the Air Act requires</w:t>
      </w:r>
      <w:r w:rsidR="007B4B69">
        <w:t xml:space="preserve"> the Board to adopt </w:t>
      </w:r>
      <w:r w:rsidR="00DA4600">
        <w:t>a plan for controlling ambient ozone concentrations</w:t>
      </w:r>
      <w:r w:rsidR="004019D6">
        <w:t xml:space="preserve">, </w:t>
      </w:r>
      <w:r w:rsidR="00DA4600">
        <w:t xml:space="preserve">it </w:t>
      </w:r>
      <w:r w:rsidR="004019D6">
        <w:t xml:space="preserve">fails to specify what sort of “plan” must be adopted.  </w:t>
      </w:r>
      <w:r w:rsidR="00F80231">
        <w:t xml:space="preserve">Additionally, there is no </w:t>
      </w:r>
      <w:r w:rsidR="00DA4600">
        <w:t>guidance</w:t>
      </w:r>
      <w:r w:rsidR="00F80231">
        <w:t xml:space="preserve"> in the statute of what should be included in this plan.  </w:t>
      </w:r>
      <w:r w:rsidR="004019D6">
        <w:t>Without understanding what the plan for control of ozone is, it is impossible to effectively evaluate the need for the proposed regulations and how they fit into a broader overall plan</w:t>
      </w:r>
      <w:r w:rsidR="00F80231">
        <w:t>.</w:t>
      </w:r>
    </w:p>
    <w:p w14:paraId="49924EB8" w14:textId="71FF8189" w:rsidR="00E2433F" w:rsidRDefault="004019D6" w:rsidP="00B61964">
      <w:pPr>
        <w:spacing w:after="0" w:line="480" w:lineRule="auto"/>
        <w:jc w:val="both"/>
      </w:pPr>
      <w:r>
        <w:tab/>
      </w:r>
      <w:r w:rsidR="0020144A">
        <w:t>Without any guidance in the New Mexico statutes as to what should constitute a “plan”</w:t>
      </w:r>
      <w:r w:rsidR="00EB16B0">
        <w:t xml:space="preserve"> for reducing ozone concentrations in areas that exceed 95% of the NAAQS</w:t>
      </w:r>
      <w:r w:rsidR="0020144A">
        <w:t xml:space="preserve">, </w:t>
      </w:r>
      <w:r w:rsidR="00DA4600">
        <w:t xml:space="preserve">the Board </w:t>
      </w:r>
      <w:r w:rsidR="0020144A">
        <w:t xml:space="preserve">should </w:t>
      </w:r>
      <w:r w:rsidR="00CE461D">
        <w:t xml:space="preserve">consult </w:t>
      </w:r>
      <w:r w:rsidR="0020144A">
        <w:t xml:space="preserve">the well-developed federal </w:t>
      </w:r>
      <w:r w:rsidR="00147F09">
        <w:t xml:space="preserve">requirements that states must follow </w:t>
      </w:r>
      <w:r w:rsidR="00FB56FC">
        <w:t>in preparing</w:t>
      </w:r>
      <w:r w:rsidR="00147F09">
        <w:t xml:space="preserve"> their implementation plans</w:t>
      </w:r>
      <w:r w:rsidR="00E2433F">
        <w:t xml:space="preserve"> to assure the attainment and maintenance of the NAAQS</w:t>
      </w:r>
      <w:r w:rsidR="00147F09">
        <w:t xml:space="preserve">. </w:t>
      </w:r>
      <w:r w:rsidR="0020144A">
        <w:t xml:space="preserve"> </w:t>
      </w:r>
      <w:r w:rsidR="00E2433F">
        <w:t>Section 110 of t</w:t>
      </w:r>
      <w:r>
        <w:t xml:space="preserve">he </w:t>
      </w:r>
      <w:r w:rsidR="00E2433F">
        <w:t xml:space="preserve">federal Clean Air Act requires that the </w:t>
      </w:r>
      <w:r>
        <w:t xml:space="preserve">State Implementation Plan </w:t>
      </w:r>
      <w:r w:rsidR="005D38A5">
        <w:t xml:space="preserve">(“SIP”) </w:t>
      </w:r>
      <w:r w:rsidR="00E2433F">
        <w:t xml:space="preserve">include </w:t>
      </w:r>
      <w:r w:rsidR="006E006E">
        <w:t xml:space="preserve">“a plan which provides for implementation, maintenance, and enforcement of such primary standard in each air quality control region (or portion thereof) within such State.”  42 U.S.C. § 7410(a)(1) (1990).  </w:t>
      </w:r>
      <w:r w:rsidR="00153D6C">
        <w:t>The requirements include</w:t>
      </w:r>
      <w:r w:rsidR="009D77BB">
        <w:t xml:space="preserve"> the following</w:t>
      </w:r>
      <w:r w:rsidR="00153D6C">
        <w:t>: enforceable emission limits, appropriate control equipment, collection of monitoring data, required emission report</w:t>
      </w:r>
      <w:r w:rsidR="0064546B">
        <w:t>s</w:t>
      </w:r>
      <w:r w:rsidR="00153D6C">
        <w:t xml:space="preserve"> amongst many other steps.  42 U.S.C. § 7410(a)(2).</w:t>
      </w:r>
      <w:r w:rsidR="00807938">
        <w:t xml:space="preserve">   </w:t>
      </w:r>
      <w:r w:rsidR="00367238">
        <w:t xml:space="preserve">  </w:t>
      </w:r>
    </w:p>
    <w:p w14:paraId="7B30D765" w14:textId="39FD29FD" w:rsidR="00B61964" w:rsidRDefault="00367238" w:rsidP="00E2433F">
      <w:pPr>
        <w:spacing w:after="0" w:line="480" w:lineRule="auto"/>
        <w:ind w:firstLine="720"/>
        <w:jc w:val="both"/>
      </w:pPr>
      <w:r>
        <w:lastRenderedPageBreak/>
        <w:t>Additional</w:t>
      </w:r>
      <w:r w:rsidR="00E2433F">
        <w:t>ly, Section 172 of the federal Clean Air Act</w:t>
      </w:r>
      <w:r w:rsidR="00457F0E">
        <w:t xml:space="preserve"> </w:t>
      </w:r>
      <w:r w:rsidR="00FB56FC">
        <w:t>specifies</w:t>
      </w:r>
      <w:r>
        <w:t xml:space="preserve"> requirements </w:t>
      </w:r>
      <w:r w:rsidR="00E2433F">
        <w:t>for areas designated as nonattainment with the NAAQS</w:t>
      </w:r>
      <w:r w:rsidR="00FB56FC">
        <w:t>.  It</w:t>
      </w:r>
      <w:r w:rsidR="00E2433F">
        <w:t xml:space="preserve"> requires that </w:t>
      </w:r>
      <w:r w:rsidR="00A81924">
        <w:t>nonattainment area plans</w:t>
      </w:r>
      <w:r w:rsidR="00B61964">
        <w:t xml:space="preserve">: </w:t>
      </w:r>
    </w:p>
    <w:p w14:paraId="43EF2B12" w14:textId="77777777" w:rsidR="00B61964" w:rsidRDefault="00B61964" w:rsidP="00B61964">
      <w:pPr>
        <w:spacing w:line="240" w:lineRule="auto"/>
        <w:ind w:left="720" w:right="720"/>
        <w:jc w:val="both"/>
      </w:pPr>
      <w:r>
        <w:t>(1) In general</w:t>
      </w:r>
    </w:p>
    <w:p w14:paraId="4954241C" w14:textId="77777777" w:rsidR="00B61964" w:rsidRDefault="00B61964" w:rsidP="00B61964">
      <w:pPr>
        <w:spacing w:line="240" w:lineRule="auto"/>
        <w:ind w:left="720" w:right="720"/>
        <w:jc w:val="both"/>
      </w:pPr>
      <w:r>
        <w:t xml:space="preserve">Such plan provisions shall provide for the </w:t>
      </w:r>
      <w:r w:rsidRPr="00303632">
        <w:t>implementation of all reasonably available control measures as expeditiously as practicable</w:t>
      </w:r>
      <w:r>
        <w:t xml:space="preserve"> (including such reductions in emissions from existing sources in the area as may be obtained through the adoption, at a minimum, of reasonably available control technology) and shall provide for attainment of the national primary ambient air quality standards.</w:t>
      </w:r>
    </w:p>
    <w:p w14:paraId="3BFA2675" w14:textId="77777777" w:rsidR="00B61964" w:rsidRDefault="00B61964" w:rsidP="00B61964">
      <w:pPr>
        <w:spacing w:line="240" w:lineRule="auto"/>
        <w:ind w:left="720" w:right="720"/>
        <w:jc w:val="both"/>
      </w:pPr>
      <w:r>
        <w:t>(2) RFP</w:t>
      </w:r>
    </w:p>
    <w:p w14:paraId="06A219A5" w14:textId="77777777" w:rsidR="00B61964" w:rsidRDefault="00B61964" w:rsidP="00B61964">
      <w:pPr>
        <w:spacing w:line="240" w:lineRule="auto"/>
        <w:ind w:left="720" w:right="720"/>
        <w:jc w:val="both"/>
      </w:pPr>
      <w:r>
        <w:t>Such plan provisions shall require reasonable further progress.</w:t>
      </w:r>
    </w:p>
    <w:p w14:paraId="13BE78D4" w14:textId="77777777" w:rsidR="00B61964" w:rsidRDefault="00B61964" w:rsidP="00B61964">
      <w:pPr>
        <w:spacing w:line="240" w:lineRule="auto"/>
        <w:ind w:left="720" w:right="720"/>
        <w:jc w:val="both"/>
      </w:pPr>
      <w:r>
        <w:t>(3) Inventory</w:t>
      </w:r>
    </w:p>
    <w:p w14:paraId="0D2E251A" w14:textId="77777777" w:rsidR="00B61964" w:rsidRDefault="00B61964" w:rsidP="00B61964">
      <w:pPr>
        <w:spacing w:line="240" w:lineRule="auto"/>
        <w:ind w:left="720" w:right="720"/>
        <w:jc w:val="both"/>
      </w:pPr>
      <w:r>
        <w:t>Such plan provisions shall include a comprehensive, accurate, current inventory of actual emissions from all sources of the relevant pollutant or pollutants in such area, including such periodic revisions as the Administrator may determine necessary to assure that the requirements of this part are met.</w:t>
      </w:r>
    </w:p>
    <w:p w14:paraId="3E51FFE2" w14:textId="77777777" w:rsidR="00B61964" w:rsidRDefault="00B61964" w:rsidP="00B61964">
      <w:pPr>
        <w:spacing w:line="240" w:lineRule="auto"/>
        <w:ind w:left="720" w:right="720"/>
        <w:jc w:val="both"/>
      </w:pPr>
      <w:r>
        <w:t>(4) Identification and quantification</w:t>
      </w:r>
    </w:p>
    <w:p w14:paraId="6AD245BC" w14:textId="77777777" w:rsidR="00B61964" w:rsidRDefault="00B61964" w:rsidP="00B61964">
      <w:pPr>
        <w:spacing w:line="240" w:lineRule="auto"/>
        <w:ind w:left="720" w:right="720"/>
        <w:jc w:val="both"/>
      </w:pPr>
      <w:r>
        <w:t>Such plan provisions shall expressly identify and quantify the emissions, if any, of any such pollutant or pollutants which will be allowed, in accordance with section 7503(a)(1)(B) of this title, from the construction and operation of major new or modified stationary sources in each such area. The plan shall demonstrate to the satisfaction of the Administrator that the emissions quantified for this purpose will be consistent with the achievement of reasonable further progress and will not interfere with attainment of the applicable national ambient air quality standard by the applicable attainment date.</w:t>
      </w:r>
    </w:p>
    <w:p w14:paraId="1FCA25D3" w14:textId="77777777" w:rsidR="00B61964" w:rsidRDefault="00B61964" w:rsidP="00B61964">
      <w:pPr>
        <w:spacing w:line="240" w:lineRule="auto"/>
        <w:ind w:left="720" w:right="720"/>
        <w:jc w:val="both"/>
      </w:pPr>
      <w:r>
        <w:t>(5) Permits for new and modified major stationary sources</w:t>
      </w:r>
    </w:p>
    <w:p w14:paraId="2919D21E" w14:textId="77777777" w:rsidR="00B61964" w:rsidRDefault="00B61964" w:rsidP="00B61964">
      <w:pPr>
        <w:spacing w:line="240" w:lineRule="auto"/>
        <w:ind w:left="720" w:right="720"/>
        <w:jc w:val="both"/>
      </w:pPr>
      <w:r>
        <w:t>Such plan provisions shall require permits for the construction and operation of new or modified major stationary sources anywhere in the nonattainment area, in accordance with section 7503 of this title.</w:t>
      </w:r>
    </w:p>
    <w:p w14:paraId="5E9E80CB" w14:textId="77777777" w:rsidR="00B61964" w:rsidRDefault="00B61964" w:rsidP="00B61964">
      <w:pPr>
        <w:spacing w:line="240" w:lineRule="auto"/>
        <w:ind w:left="720" w:right="720"/>
        <w:jc w:val="both"/>
      </w:pPr>
      <w:r>
        <w:t>(6) Other measures</w:t>
      </w:r>
    </w:p>
    <w:p w14:paraId="01BFD8EC" w14:textId="77777777" w:rsidR="00B61964" w:rsidRDefault="00B61964" w:rsidP="00B61964">
      <w:pPr>
        <w:spacing w:line="240" w:lineRule="auto"/>
        <w:ind w:left="720" w:right="720"/>
        <w:jc w:val="both"/>
      </w:pPr>
      <w:r>
        <w:t>Such plan provisions shall include enforceable emission limitations, and such other control measures, means or techniques (including economic incentives such as fees, marketable permits, and auctions of emission rights), as well as schedules and timetables for compliance, as may be necessary or appropriate to provide for attainment of such standard in such area by the applicable attainment date specified in this part.</w:t>
      </w:r>
    </w:p>
    <w:p w14:paraId="37F17BCC" w14:textId="77777777" w:rsidR="00B61964" w:rsidRDefault="00B61964" w:rsidP="00B61964">
      <w:pPr>
        <w:spacing w:line="240" w:lineRule="auto"/>
        <w:ind w:left="720" w:right="720"/>
        <w:jc w:val="both"/>
      </w:pPr>
      <w:r>
        <w:t>(7) Compliance with section 7410(a)(2)</w:t>
      </w:r>
    </w:p>
    <w:p w14:paraId="46272571" w14:textId="77777777" w:rsidR="00B61964" w:rsidRDefault="00B61964" w:rsidP="00B61964">
      <w:pPr>
        <w:spacing w:line="240" w:lineRule="auto"/>
        <w:ind w:left="720" w:right="720"/>
        <w:jc w:val="both"/>
      </w:pPr>
      <w:r>
        <w:lastRenderedPageBreak/>
        <w:t>Such plan provisions shall also meet the applicable provisions of section 7410(a)(2) of this title.</w:t>
      </w:r>
    </w:p>
    <w:p w14:paraId="66D432D8" w14:textId="77777777" w:rsidR="00B61964" w:rsidRDefault="00B61964" w:rsidP="00B61964">
      <w:pPr>
        <w:spacing w:line="240" w:lineRule="auto"/>
        <w:ind w:left="720" w:right="720"/>
        <w:jc w:val="both"/>
      </w:pPr>
      <w:r>
        <w:t>(8) Equivalent techniques</w:t>
      </w:r>
    </w:p>
    <w:p w14:paraId="75AF7DA7" w14:textId="77777777" w:rsidR="00B61964" w:rsidRDefault="00B61964" w:rsidP="00B61964">
      <w:pPr>
        <w:spacing w:line="240" w:lineRule="auto"/>
        <w:ind w:left="720" w:right="720"/>
        <w:jc w:val="both"/>
      </w:pPr>
      <w:r>
        <w:t>Upon application by any State, the Administrator may allow the use of equivalent modeling, emission inventory, and planning procedures, unless the Administrator determines that the proposed techniques are, in the aggregate, less effective than the methods specified by the Administrator.</w:t>
      </w:r>
    </w:p>
    <w:p w14:paraId="6874732A" w14:textId="77777777" w:rsidR="00B61964" w:rsidRDefault="00B61964" w:rsidP="00B61964">
      <w:pPr>
        <w:spacing w:line="240" w:lineRule="auto"/>
        <w:ind w:left="720" w:right="720"/>
        <w:jc w:val="both"/>
      </w:pPr>
      <w:r>
        <w:t>(9) Contingency measures</w:t>
      </w:r>
    </w:p>
    <w:p w14:paraId="4F9BED90" w14:textId="75286FB1" w:rsidR="00B61964" w:rsidRDefault="00B61964" w:rsidP="00B61964">
      <w:pPr>
        <w:spacing w:line="240" w:lineRule="auto"/>
        <w:ind w:left="720" w:right="720"/>
        <w:jc w:val="both"/>
      </w:pPr>
      <w:r>
        <w:t>Such plan shall provide for the implementation of specific measures to be undertaken if the area fails to make reasonable further progress, or to attain the national primary ambient air quality standard by the attainment date applicable under this part. Such measures shall be included in the plan revision as contingency measures to take effect in any such case without further action by the State or the Administrator.</w:t>
      </w:r>
    </w:p>
    <w:p w14:paraId="7F91C71C" w14:textId="5347AEF9" w:rsidR="004019D6" w:rsidRDefault="00A81924" w:rsidP="002F4651">
      <w:pPr>
        <w:spacing w:after="0" w:line="480" w:lineRule="auto"/>
        <w:jc w:val="both"/>
      </w:pPr>
      <w:r>
        <w:t>42 U.S.C. § 7502(c) (1990)</w:t>
      </w:r>
      <w:r w:rsidR="00C35897">
        <w:t xml:space="preserve"> (emphasis added)</w:t>
      </w:r>
      <w:r>
        <w:t xml:space="preserve">.  </w:t>
      </w:r>
    </w:p>
    <w:p w14:paraId="35B106DC" w14:textId="258CDC07" w:rsidR="00D44A28" w:rsidRPr="009D04A6" w:rsidRDefault="00807938" w:rsidP="002F4651">
      <w:pPr>
        <w:spacing w:after="0" w:line="480" w:lineRule="auto"/>
        <w:jc w:val="both"/>
      </w:pPr>
      <w:r>
        <w:tab/>
      </w:r>
      <w:r w:rsidR="009D04A6">
        <w:t>Regulatory requirements for implementation of the 2015 ozone NAAQS into SIPs</w:t>
      </w:r>
      <w:r>
        <w:t xml:space="preserve"> are laid out in 40 C.F.R. 51 Subpart CC</w:t>
      </w:r>
      <w:r w:rsidR="00893C21">
        <w:t>, including requirements for areas not attaining the 2015 NAAQS</w:t>
      </w:r>
      <w:r>
        <w:t xml:space="preserve">.  </w:t>
      </w:r>
      <w:r w:rsidR="00F31E76">
        <w:rPr>
          <w:i/>
          <w:iCs/>
        </w:rPr>
        <w:t xml:space="preserve">See </w:t>
      </w:r>
      <w:r w:rsidR="00F31E76" w:rsidRPr="00F31E76">
        <w:t>Memo from Janet McCabe, EPA to Regional Administrators, dated October 1, 2015</w:t>
      </w:r>
      <w:r w:rsidR="00F31E76">
        <w:rPr>
          <w:i/>
          <w:iCs/>
        </w:rPr>
        <w:t>, “</w:t>
      </w:r>
      <w:r w:rsidR="00F31E76" w:rsidRPr="00F31E76">
        <w:rPr>
          <w:i/>
          <w:iCs/>
        </w:rPr>
        <w:t>Implementing the 20 I 5 Ozone National Ambient Air Quality Standards</w:t>
      </w:r>
      <w:r w:rsidR="00F31E76">
        <w:rPr>
          <w:i/>
          <w:iCs/>
        </w:rPr>
        <w:t>.”</w:t>
      </w:r>
      <w:r w:rsidR="009A6738">
        <w:rPr>
          <w:i/>
          <w:iCs/>
        </w:rPr>
        <w:t xml:space="preserve"> </w:t>
      </w:r>
      <w:r w:rsidR="00F31E76" w:rsidRPr="009A6738">
        <w:t>https://www.epa.gov/sites/default/files/2015-10/documents/implementation_memo.pdf.</w:t>
      </w:r>
      <w:r w:rsidR="00F31E76">
        <w:rPr>
          <w:i/>
          <w:iCs/>
        </w:rPr>
        <w:t xml:space="preserve">  </w:t>
      </w:r>
      <w:r w:rsidR="009D04A6">
        <w:t xml:space="preserve">Requirements </w:t>
      </w:r>
      <w:r w:rsidR="00A600B5">
        <w:t>for</w:t>
      </w:r>
      <w:r w:rsidR="009D04A6">
        <w:t xml:space="preserve"> emissions inventories are described in 40 C.F.R. </w:t>
      </w:r>
      <w:r w:rsidR="00A600B5">
        <w:t>§</w:t>
      </w:r>
      <w:r w:rsidR="009D04A6">
        <w:t xml:space="preserve"> 51.1315.  This regulation details how often an emission inventory needs to be submitted, what values are to be included, and the boundaries of the inventory.  </w:t>
      </w:r>
      <w:r w:rsidR="009D04A6">
        <w:rPr>
          <w:i/>
          <w:iCs/>
        </w:rPr>
        <w:t>Id.</w:t>
      </w:r>
      <w:r w:rsidR="009D04A6">
        <w:t xml:space="preserve"> </w:t>
      </w:r>
      <w:r w:rsidR="009B62D9">
        <w:t xml:space="preserve"> The federal requirements, both statutory and regulatory</w:t>
      </w:r>
      <w:r w:rsidR="007938F2">
        <w:t>,</w:t>
      </w:r>
      <w:r w:rsidR="009B62D9">
        <w:t xml:space="preserve"> are specific with often quantifiable requirements to be included in a SIP.  This allows the SIP to be a </w:t>
      </w:r>
      <w:proofErr w:type="gramStart"/>
      <w:r w:rsidR="009B62D9">
        <w:t>high quality</w:t>
      </w:r>
      <w:proofErr w:type="gramEnd"/>
      <w:r w:rsidR="009B62D9">
        <w:t xml:space="preserve"> document that is effective in its goal of reducing air pollution and maintaining ambient air quality standards.</w:t>
      </w:r>
      <w:r w:rsidR="00D44A28">
        <w:t xml:space="preserve">  The Board has already adopted requirements for permitting in nonattainment areas:  major sources in nonattainment areas, 20.2.79 NMAC, and minor sources</w:t>
      </w:r>
      <w:r w:rsidR="00A600B5">
        <w:t xml:space="preserve"> in nonattainment areas</w:t>
      </w:r>
      <w:r w:rsidR="00D44A28">
        <w:t>, 20.2.72.216 NMAC.</w:t>
      </w:r>
    </w:p>
    <w:p w14:paraId="74CEF9A8" w14:textId="16E6E183" w:rsidR="007F0F6E" w:rsidRPr="00851DF4" w:rsidRDefault="007F0F6E" w:rsidP="007F0F6E">
      <w:pPr>
        <w:spacing w:after="0" w:line="480" w:lineRule="auto"/>
        <w:jc w:val="both"/>
      </w:pPr>
      <w:r>
        <w:lastRenderedPageBreak/>
        <w:tab/>
        <w:t>NMED has proposed the Ozone Advance Path Forward document</w:t>
      </w:r>
      <w:r w:rsidR="004004DE" w:rsidRPr="004004DE">
        <w:t xml:space="preserve"> </w:t>
      </w:r>
      <w:r w:rsidR="004004DE">
        <w:t>as the “plan” required under Section 74-2-5(C)</w:t>
      </w:r>
      <w:r>
        <w:t xml:space="preserve">.  </w:t>
      </w:r>
      <w:r>
        <w:rPr>
          <w:b/>
          <w:bCs/>
        </w:rPr>
        <w:t>NMED Ex. 4</w:t>
      </w:r>
      <w:r>
        <w:t xml:space="preserve"> at 11.  </w:t>
      </w:r>
      <w:r w:rsidR="004004DE">
        <w:t xml:space="preserve">As explained </w:t>
      </w:r>
      <w:r w:rsidR="00AD5F40">
        <w:t>d</w:t>
      </w:r>
      <w:r w:rsidR="004004DE">
        <w:t>uring the hearing, t</w:t>
      </w:r>
      <w:r w:rsidR="009C3B5D">
        <w:t>his document is inadequate to serve as an</w:t>
      </w:r>
      <w:r w:rsidR="00B27CC7">
        <w:t>y</w:t>
      </w:r>
      <w:r w:rsidR="009C3B5D">
        <w:t xml:space="preserve"> sort of effective plan.  It simply categorizes the actions taken to date to address ozone.  </w:t>
      </w:r>
      <w:r w:rsidR="009C3B5D">
        <w:rPr>
          <w:i/>
          <w:iCs/>
        </w:rPr>
        <w:t>See generally</w:t>
      </w:r>
      <w:r w:rsidR="009C3B5D">
        <w:t xml:space="preserve"> </w:t>
      </w:r>
      <w:r w:rsidR="009C3B5D">
        <w:rPr>
          <w:b/>
          <w:bCs/>
        </w:rPr>
        <w:t>NMED Am. Ex. 4</w:t>
      </w:r>
      <w:r w:rsidR="009C3B5D">
        <w:t xml:space="preserve">.  </w:t>
      </w:r>
      <w:r w:rsidR="00851DF4">
        <w:t xml:space="preserve">The NMED Plan is also not forward-looking.  </w:t>
      </w:r>
      <w:r w:rsidR="00C21AF0">
        <w:t>It fails to discuss how use of a regulatory scheme a</w:t>
      </w:r>
      <w:r w:rsidR="00851DF4">
        <w:t>n</w:t>
      </w:r>
      <w:r w:rsidR="00C21AF0">
        <w:t>d the various public involvement programs will work to further reduce ozone levels in the state.</w:t>
      </w:r>
      <w:r w:rsidR="00851DF4">
        <w:t xml:space="preserve">  An effective plan is one that works to address </w:t>
      </w:r>
      <w:r w:rsidR="00851DF4">
        <w:rPr>
          <w:i/>
          <w:iCs/>
        </w:rPr>
        <w:t>all</w:t>
      </w:r>
      <w:r w:rsidR="00851DF4">
        <w:t xml:space="preserve"> aspects of the ozone levels in the state, rather than piecemeal regulations targeting certain industries.  Such a generic document could not have been what the Legislature intended when it required the Board to adopt a plan to address </w:t>
      </w:r>
      <w:r w:rsidR="00A600B5">
        <w:t xml:space="preserve">the emission of </w:t>
      </w:r>
      <w:r w:rsidR="00851DF4">
        <w:t>ozone</w:t>
      </w:r>
      <w:r w:rsidR="00A600B5">
        <w:t xml:space="preserve"> precursors, </w:t>
      </w:r>
      <w:proofErr w:type="gramStart"/>
      <w:r w:rsidR="00A600B5">
        <w:t>NOx</w:t>
      </w:r>
      <w:proofErr w:type="gramEnd"/>
      <w:r w:rsidR="00A600B5">
        <w:t xml:space="preserve"> and VOCs</w:t>
      </w:r>
      <w:r w:rsidR="00851DF4">
        <w:t xml:space="preserve">. </w:t>
      </w:r>
    </w:p>
    <w:p w14:paraId="2E94CB4E" w14:textId="6D6D9C64" w:rsidR="00C053A4" w:rsidRPr="00C053A4" w:rsidRDefault="00C21AF0" w:rsidP="00B27CC7">
      <w:pPr>
        <w:spacing w:after="0" w:line="480" w:lineRule="auto"/>
        <w:jc w:val="both"/>
      </w:pPr>
      <w:r>
        <w:tab/>
      </w:r>
      <w:r w:rsidR="004004DE">
        <w:t>IPANM believes that the Board should look to</w:t>
      </w:r>
      <w:r w:rsidR="004714AD">
        <w:t xml:space="preserve"> </w:t>
      </w:r>
      <w:r>
        <w:t>the requirements of the Clean Air Act SIPs</w:t>
      </w:r>
      <w:r w:rsidR="00480A11">
        <w:t xml:space="preserve"> </w:t>
      </w:r>
      <w:r w:rsidR="003D1027">
        <w:t xml:space="preserve">requirements, discussed above, </w:t>
      </w:r>
      <w:r w:rsidR="00492E32">
        <w:t>as well as the New Mexico SIP</w:t>
      </w:r>
      <w:r w:rsidR="005E32E5">
        <w:t>,</w:t>
      </w:r>
      <w:r w:rsidR="00492E32">
        <w:t xml:space="preserve"> </w:t>
      </w:r>
      <w:r w:rsidR="004714AD">
        <w:t>when</w:t>
      </w:r>
      <w:r w:rsidR="00480A11">
        <w:t xml:space="preserve"> </w:t>
      </w:r>
      <w:r w:rsidR="004714AD">
        <w:t>formulating</w:t>
      </w:r>
      <w:r w:rsidR="00480A11">
        <w:t xml:space="preserve"> an ozone plan</w:t>
      </w:r>
      <w:r>
        <w:t xml:space="preserve">.  </w:t>
      </w:r>
      <w:r w:rsidR="00492E32">
        <w:t xml:space="preserve">The New Mexico SIP is found at 40 C.F.R. 52 Subpart GG.  The </w:t>
      </w:r>
      <w:r w:rsidR="00CC53F9">
        <w:t xml:space="preserve">statutory requirement for an ozone plan is approved in the New Mexico SIP.  </w:t>
      </w:r>
      <w:r w:rsidR="00CC53F9">
        <w:rPr>
          <w:i/>
          <w:iCs/>
        </w:rPr>
        <w:t xml:space="preserve">See </w:t>
      </w:r>
      <w:r w:rsidR="00166151" w:rsidRPr="006930B3">
        <w:t>Air Plan Approval; New Mexico; Infrastructure for the 2015 Ozone National Ambient Air Quality Standards and Repeal of State Regulations for Total Suspended Particulate,</w:t>
      </w:r>
      <w:r w:rsidR="00166151">
        <w:rPr>
          <w:b/>
          <w:bCs/>
          <w:i/>
          <w:iCs/>
        </w:rPr>
        <w:t xml:space="preserve"> </w:t>
      </w:r>
      <w:r w:rsidR="00166151">
        <w:t xml:space="preserve">84 Fed. Reg. </w:t>
      </w:r>
      <w:r w:rsidR="006930B3">
        <w:t>49057 (</w:t>
      </w:r>
      <w:r w:rsidR="00CF0125">
        <w:t>Sept. 18, 2019</w:t>
      </w:r>
      <w:r w:rsidR="00457F0E">
        <w:t>)</w:t>
      </w:r>
      <w:r w:rsidR="006930B3">
        <w:t xml:space="preserve">; </w:t>
      </w:r>
      <w:r w:rsidR="00CC53F9">
        <w:t>Air Plan Approval; New Mexico; Approval of Revised Statutes; Error Correction, 84 Fed. Reg. 6334 (Feb. 27, 2019).</w:t>
      </w:r>
      <w:r w:rsidR="00492E32">
        <w:t xml:space="preserve">  </w:t>
      </w:r>
      <w:r>
        <w:t>In attainment areas</w:t>
      </w:r>
      <w:r w:rsidR="004714AD">
        <w:t>,</w:t>
      </w:r>
      <w:r>
        <w:t xml:space="preserve"> </w:t>
      </w:r>
      <w:r w:rsidR="00480A11">
        <w:t xml:space="preserve">SIPs </w:t>
      </w:r>
      <w:r>
        <w:t xml:space="preserve">require “implementation, maintenance, and enforcement of such primary standard in each air quality control region (or portion thereof) within such State.”  42 U.S.C. § 7410(a)(1).  </w:t>
      </w:r>
      <w:r w:rsidR="00450EC9">
        <w:t xml:space="preserve">  The ozone plan should discuss the existing requirements and explain why additional requirements are necessary and appropriate.</w:t>
      </w:r>
      <w:r>
        <w:t xml:space="preserve">  </w:t>
      </w:r>
      <w:r w:rsidR="00480A11">
        <w:t xml:space="preserve">Creating an adequate and detailed plan benefits all stakeholders as it allows for assurances that the most impactful types of measures are being implemented to deal with ozone levels as opposed to piecemeal regulations </w:t>
      </w:r>
      <w:r w:rsidR="00851DF4">
        <w:t>that unjustifiably target only certain industries.</w:t>
      </w:r>
    </w:p>
    <w:p w14:paraId="21FEF202" w14:textId="7FDD066E" w:rsidR="006E006E" w:rsidRDefault="0070530D" w:rsidP="000F6357">
      <w:pPr>
        <w:pStyle w:val="Heading2"/>
      </w:pPr>
      <w:bookmarkStart w:id="4" w:name="_Toc93568142"/>
      <w:r>
        <w:lastRenderedPageBreak/>
        <w:t>Modeling shows ambient concentrations under the 2028 base case with no additional controls meets the NAAQS</w:t>
      </w:r>
      <w:r w:rsidR="004714AD">
        <w:t>;</w:t>
      </w:r>
      <w:r>
        <w:t xml:space="preserve"> therefore</w:t>
      </w:r>
      <w:r w:rsidR="004714AD">
        <w:t>,</w:t>
      </w:r>
      <w:r>
        <w:t xml:space="preserve"> the proposed controls are not necessary.</w:t>
      </w:r>
      <w:bookmarkEnd w:id="4"/>
    </w:p>
    <w:p w14:paraId="653E1C8A" w14:textId="77777777" w:rsidR="00B27CC7" w:rsidRPr="00B27CC7" w:rsidRDefault="00B27CC7" w:rsidP="00B27CC7">
      <w:pPr>
        <w:spacing w:after="0"/>
      </w:pPr>
    </w:p>
    <w:p w14:paraId="67B9D5B6" w14:textId="0C1764D5" w:rsidR="006F45F8" w:rsidRDefault="004C3583" w:rsidP="009C3B5D">
      <w:pPr>
        <w:spacing w:after="0" w:line="480" w:lineRule="auto"/>
        <w:ind w:firstLine="720"/>
        <w:jc w:val="both"/>
      </w:pPr>
      <w:r>
        <w:t xml:space="preserve">The Board is charged with </w:t>
      </w:r>
      <w:proofErr w:type="gramStart"/>
      <w:r>
        <w:t>taking action</w:t>
      </w:r>
      <w:proofErr w:type="gramEnd"/>
      <w:r>
        <w:t xml:space="preserve"> to “attain and maintain NAAQS.”   § 74-2-5</w:t>
      </w:r>
      <w:r w:rsidR="005E32E5">
        <w:t>(B)</w:t>
      </w:r>
      <w:r>
        <w:t>.</w:t>
      </w:r>
      <w:r w:rsidR="005A1391">
        <w:t xml:space="preserve">  Modeling completed for the purpose of this rulemaking currently shows that under the 2028 base case, with no additional controls</w:t>
      </w:r>
      <w:r w:rsidR="00893C21">
        <w:t xml:space="preserve"> from oil and gas sources</w:t>
      </w:r>
      <w:r w:rsidR="005A1391">
        <w:t xml:space="preserve">, </w:t>
      </w:r>
      <w:r w:rsidR="005356F3">
        <w:t xml:space="preserve">including the controls required by proposed 20.2.50 NMAC, </w:t>
      </w:r>
      <w:r w:rsidR="00893C21">
        <w:t xml:space="preserve">the 2015 </w:t>
      </w:r>
      <w:r w:rsidR="005A1391">
        <w:t xml:space="preserve">ozone NAAQS will be met.  </w:t>
      </w:r>
      <w:r w:rsidR="006F45F8">
        <w:t>Therefore, because the ozone NAAQS will be met</w:t>
      </w:r>
      <w:r w:rsidR="00B52F26">
        <w:t xml:space="preserve"> without the proposed controls</w:t>
      </w:r>
      <w:r w:rsidR="006F45F8">
        <w:t>, the regulation</w:t>
      </w:r>
      <w:r w:rsidR="00B52F26">
        <w:t>s</w:t>
      </w:r>
      <w:r w:rsidR="006F45F8">
        <w:t xml:space="preserve"> are not necessary.</w:t>
      </w:r>
    </w:p>
    <w:p w14:paraId="17783D7D" w14:textId="1A4BE1D8" w:rsidR="00530899" w:rsidRDefault="006F45F8" w:rsidP="009C3B5D">
      <w:pPr>
        <w:spacing w:after="0" w:line="480" w:lineRule="auto"/>
        <w:ind w:firstLine="720"/>
        <w:jc w:val="both"/>
      </w:pPr>
      <w:r>
        <w:t xml:space="preserve">Extensive modeling and reviews of modeling was completed for this rulemaking.  A review of the uncontrolled, 2028 Base Case shows that </w:t>
      </w:r>
      <w:r w:rsidR="005356F3">
        <w:t xml:space="preserve">ozone concentrations at </w:t>
      </w:r>
      <w:r>
        <w:t xml:space="preserve">all the </w:t>
      </w:r>
      <w:r w:rsidR="005356F3">
        <w:t xml:space="preserve">existing ambient air </w:t>
      </w:r>
      <w:r>
        <w:t xml:space="preserve">monitors will be below the current 70 ppb </w:t>
      </w:r>
      <w:r w:rsidR="00B52F26">
        <w:t xml:space="preserve">2015 </w:t>
      </w:r>
      <w:r>
        <w:t>ozone NAAQS.</w:t>
      </w:r>
      <w:r w:rsidR="00D1068C">
        <w:t xml:space="preserve">  </w:t>
      </w:r>
      <w:r w:rsidR="00D1068C">
        <w:rPr>
          <w:b/>
          <w:bCs/>
        </w:rPr>
        <w:t>IPANM Ex. 8</w:t>
      </w:r>
      <w:r w:rsidR="00D1068C">
        <w:t>, at IPANM_0082</w:t>
      </w:r>
      <w:r w:rsidR="008637DA">
        <w:t xml:space="preserve">; </w:t>
      </w:r>
      <w:r w:rsidR="008637DA">
        <w:rPr>
          <w:b/>
          <w:bCs/>
        </w:rPr>
        <w:t>NMED Ex. 17</w:t>
      </w:r>
      <w:r w:rsidR="008637DA">
        <w:t xml:space="preserve"> at 78</w:t>
      </w:r>
      <w:r w:rsidR="00D1068C">
        <w:t xml:space="preserve">.  Of the monitors used for this analysis, only two  will be above the 95% threshold design value, Desert View </w:t>
      </w:r>
      <w:r w:rsidR="006930B3">
        <w:t xml:space="preserve">in </w:t>
      </w:r>
      <w:r w:rsidR="00D1068C">
        <w:t xml:space="preserve">Dona Ana County and Carlsbad in Eddy County.  </w:t>
      </w:r>
      <w:r w:rsidR="008637DA">
        <w:rPr>
          <w:b/>
          <w:bCs/>
        </w:rPr>
        <w:t>IPANM Ex. 8</w:t>
      </w:r>
      <w:r w:rsidR="008637DA">
        <w:t xml:space="preserve">, at IPANM_0082. </w:t>
      </w:r>
      <w:r w:rsidR="00D1068C">
        <w:t xml:space="preserve"> Desert View will have a design value of 67 ppb and Carlsbad will have a design value of 66.7 ppb.  </w:t>
      </w:r>
      <w:r w:rsidR="00D1068C">
        <w:rPr>
          <w:i/>
          <w:iCs/>
        </w:rPr>
        <w:t>Id.</w:t>
      </w:r>
      <w:r w:rsidR="00D1068C">
        <w:t xml:space="preserve">  </w:t>
      </w:r>
      <w:r w:rsidR="00856AE8">
        <w:t xml:space="preserve">If additional oil and gas controls are implemented </w:t>
      </w:r>
      <w:r w:rsidR="005E32E5">
        <w:t>under</w:t>
      </w:r>
      <w:r w:rsidR="00856AE8">
        <w:t xml:space="preserve"> the proposed rule, Desert View’s design value drops to 66.8 ppb and Carlsbad’s design value drops to 66.4</w:t>
      </w:r>
      <w:r w:rsidR="00461C28">
        <w:t xml:space="preserve"> </w:t>
      </w:r>
      <w:r w:rsidR="00856AE8">
        <w:t>ppb.</w:t>
      </w:r>
      <w:r w:rsidR="00461C28">
        <w:t xml:space="preserve"> </w:t>
      </w:r>
      <w:r w:rsidR="0054515A">
        <w:t xml:space="preserve"> </w:t>
      </w:r>
      <w:r w:rsidR="00461C28">
        <w:rPr>
          <w:i/>
          <w:iCs/>
        </w:rPr>
        <w:t>Id.</w:t>
      </w:r>
      <w:r w:rsidR="00461C28">
        <w:t xml:space="preserve">  Desert View then remains over the 95% threshold</w:t>
      </w:r>
      <w:r w:rsidR="005E32E5">
        <w:t>,</w:t>
      </w:r>
      <w:r w:rsidR="00461C28">
        <w:t xml:space="preserve"> while Carlsbad drops just below it.  This data is illustrative of the fact that </w:t>
      </w:r>
      <w:r w:rsidR="00166250">
        <w:t xml:space="preserve">additional controls on oil and gas yield only </w:t>
      </w:r>
      <w:r w:rsidR="00A9397D">
        <w:t xml:space="preserve">miniscule </w:t>
      </w:r>
      <w:r w:rsidR="00166250">
        <w:t xml:space="preserve">declines in ozone design values.  </w:t>
      </w:r>
      <w:r w:rsidR="00461C28">
        <w:t xml:space="preserve">  </w:t>
      </w:r>
      <w:r w:rsidR="00856AE8">
        <w:t xml:space="preserve">  </w:t>
      </w:r>
    </w:p>
    <w:p w14:paraId="7AAC59C8" w14:textId="5BE53720" w:rsidR="00A9397D" w:rsidRDefault="008637DA" w:rsidP="005E32E5">
      <w:pPr>
        <w:pStyle w:val="Heading2"/>
        <w:jc w:val="both"/>
      </w:pPr>
      <w:bookmarkStart w:id="5" w:name="_Toc93568143"/>
      <w:r>
        <w:t>Methane is an irrelevant consideration in a rulemaking about VOC and NOx</w:t>
      </w:r>
      <w:r w:rsidR="005356F3">
        <w:t>,</w:t>
      </w:r>
      <w:r w:rsidR="00C617ED">
        <w:t xml:space="preserve"> precursors to ozone formation.</w:t>
      </w:r>
      <w:bookmarkEnd w:id="5"/>
    </w:p>
    <w:p w14:paraId="0E3C6011" w14:textId="77777777" w:rsidR="00B27CC7" w:rsidRPr="00B27CC7" w:rsidRDefault="00B27CC7" w:rsidP="00B27CC7">
      <w:pPr>
        <w:spacing w:after="0"/>
      </w:pPr>
    </w:p>
    <w:p w14:paraId="5FD5C3BC" w14:textId="4A1E3563" w:rsidR="00C617ED" w:rsidRDefault="00C617ED" w:rsidP="00C617ED">
      <w:pPr>
        <w:spacing w:line="480" w:lineRule="auto"/>
        <w:ind w:firstLine="720"/>
        <w:contextualSpacing/>
        <w:jc w:val="both"/>
        <w:rPr>
          <w:rFonts w:cs="Times New Roman"/>
          <w:szCs w:val="24"/>
        </w:rPr>
      </w:pPr>
      <w:bookmarkStart w:id="6" w:name="_Hlk92299712"/>
      <w:r>
        <w:rPr>
          <w:rFonts w:cs="Times New Roman"/>
          <w:szCs w:val="24"/>
        </w:rPr>
        <w:t>“</w:t>
      </w:r>
      <w:r w:rsidRPr="0083414B">
        <w:rPr>
          <w:rFonts w:cs="Times New Roman"/>
          <w:szCs w:val="24"/>
        </w:rPr>
        <w:t>The subject matter jurisdiction of an administrative agency is defined by statute, and an agency is limited to exercising only the authority granted by statute</w:t>
      </w:r>
      <w:r>
        <w:rPr>
          <w:rFonts w:cs="Times New Roman"/>
          <w:szCs w:val="24"/>
        </w:rPr>
        <w:t xml:space="preserve">.” </w:t>
      </w:r>
      <w:r w:rsidRPr="0083414B">
        <w:rPr>
          <w:rFonts w:cs="Times New Roman"/>
          <w:i/>
          <w:iCs/>
          <w:szCs w:val="24"/>
        </w:rPr>
        <w:t xml:space="preserve">Helmerich &amp; Payne Int'l Drilling Co. v. New Mexico Taxation &amp; Revenue </w:t>
      </w:r>
      <w:proofErr w:type="spellStart"/>
      <w:r w:rsidRPr="0083414B">
        <w:rPr>
          <w:rFonts w:cs="Times New Roman"/>
          <w:i/>
          <w:iCs/>
          <w:szCs w:val="24"/>
        </w:rPr>
        <w:t>Dep't</w:t>
      </w:r>
      <w:proofErr w:type="spellEnd"/>
      <w:r w:rsidRPr="00F159EE">
        <w:rPr>
          <w:rFonts w:cs="Times New Roman"/>
          <w:szCs w:val="24"/>
        </w:rPr>
        <w:t>,</w:t>
      </w:r>
      <w:r w:rsidRPr="0083414B">
        <w:rPr>
          <w:rFonts w:cs="Times New Roman"/>
          <w:szCs w:val="24"/>
        </w:rPr>
        <w:t xml:space="preserve"> 2019-NMCA-054, ¶ 6</w:t>
      </w:r>
      <w:r>
        <w:rPr>
          <w:rFonts w:cs="Times New Roman"/>
          <w:szCs w:val="24"/>
        </w:rPr>
        <w:t xml:space="preserve">.  </w:t>
      </w:r>
      <w:bookmarkEnd w:id="6"/>
      <w:r>
        <w:rPr>
          <w:rFonts w:cs="Times New Roman"/>
          <w:szCs w:val="24"/>
        </w:rPr>
        <w:t>“</w:t>
      </w:r>
      <w:r w:rsidRPr="00106144">
        <w:rPr>
          <w:rFonts w:cs="Times New Roman"/>
          <w:szCs w:val="24"/>
        </w:rPr>
        <w:t xml:space="preserve">The Legislature may delegate legislative powers to administrative agencies but in so doing, boundaries of authority </w:t>
      </w:r>
      <w:r w:rsidRPr="00106144">
        <w:rPr>
          <w:rFonts w:cs="Times New Roman"/>
          <w:szCs w:val="24"/>
        </w:rPr>
        <w:lastRenderedPageBreak/>
        <w:t>must be defined and followed.</w:t>
      </w:r>
      <w:r>
        <w:rPr>
          <w:rFonts w:cs="Times New Roman"/>
          <w:szCs w:val="24"/>
        </w:rPr>
        <w:t>”</w:t>
      </w:r>
      <w:r w:rsidRPr="00AF74AC">
        <w:rPr>
          <w:rFonts w:cs="Times New Roman"/>
          <w:i/>
          <w:iCs/>
          <w:szCs w:val="24"/>
        </w:rPr>
        <w:t xml:space="preserve"> </w:t>
      </w:r>
      <w:bookmarkStart w:id="7" w:name="_Hlk93474982"/>
      <w:r w:rsidRPr="00F71686">
        <w:rPr>
          <w:rFonts w:cs="Times New Roman"/>
          <w:i/>
          <w:iCs/>
          <w:szCs w:val="24"/>
        </w:rPr>
        <w:t>Wilcox v. New Mexico Bd. of Acupuncture &amp; Oriental Med</w:t>
      </w:r>
      <w:r w:rsidRPr="00F71686">
        <w:rPr>
          <w:rFonts w:cs="Times New Roman"/>
          <w:szCs w:val="24"/>
        </w:rPr>
        <w:t>.</w:t>
      </w:r>
      <w:r w:rsidRPr="00106144">
        <w:rPr>
          <w:rFonts w:cs="Times New Roman"/>
          <w:szCs w:val="24"/>
        </w:rPr>
        <w:t>, 2012-NMCA-106, ¶ 7</w:t>
      </w:r>
      <w:bookmarkEnd w:id="7"/>
      <w:r>
        <w:rPr>
          <w:rFonts w:cs="Times New Roman"/>
          <w:szCs w:val="24"/>
        </w:rPr>
        <w:t xml:space="preserve">.  </w:t>
      </w:r>
    </w:p>
    <w:p w14:paraId="26C2E5E8" w14:textId="38791680" w:rsidR="00C617ED" w:rsidRDefault="00C617ED" w:rsidP="00C617ED">
      <w:pPr>
        <w:spacing w:line="480" w:lineRule="auto"/>
        <w:ind w:firstLine="720"/>
        <w:contextualSpacing/>
        <w:jc w:val="both"/>
        <w:rPr>
          <w:rFonts w:cs="Times New Roman"/>
          <w:szCs w:val="24"/>
        </w:rPr>
      </w:pPr>
      <w:r>
        <w:rPr>
          <w:rFonts w:cs="Times New Roman"/>
          <w:szCs w:val="24"/>
        </w:rPr>
        <w:t xml:space="preserve">It is long-standing New Mexico law that </w:t>
      </w:r>
      <w:bookmarkStart w:id="8" w:name="_Hlk92299754"/>
      <w:r>
        <w:rPr>
          <w:rFonts w:cs="Times New Roman"/>
          <w:szCs w:val="24"/>
        </w:rPr>
        <w:t>“[a]</w:t>
      </w:r>
      <w:r w:rsidRPr="00F71686">
        <w:rPr>
          <w:rFonts w:cs="Times New Roman"/>
          <w:szCs w:val="24"/>
        </w:rPr>
        <w:t>n administrative agency has no power to create a rule or regulation that is not in harmony with its statutory authority.</w:t>
      </w:r>
      <w:r>
        <w:rPr>
          <w:rFonts w:cs="Times New Roman"/>
          <w:szCs w:val="24"/>
        </w:rPr>
        <w:t>”</w:t>
      </w:r>
      <w:r w:rsidR="00EA79FE">
        <w:rPr>
          <w:rFonts w:cs="Times New Roman"/>
          <w:szCs w:val="24"/>
        </w:rPr>
        <w:t xml:space="preserve"> </w:t>
      </w:r>
      <w:r w:rsidRPr="00F71686">
        <w:rPr>
          <w:rFonts w:cs="Times New Roman"/>
          <w:szCs w:val="24"/>
        </w:rPr>
        <w:t xml:space="preserve"> </w:t>
      </w:r>
      <w:r w:rsidRPr="00F71686">
        <w:rPr>
          <w:rFonts w:cs="Times New Roman"/>
          <w:i/>
          <w:iCs/>
          <w:szCs w:val="24"/>
        </w:rPr>
        <w:t>Wilcox</w:t>
      </w:r>
      <w:r>
        <w:rPr>
          <w:rFonts w:cs="Times New Roman"/>
          <w:i/>
          <w:iCs/>
          <w:szCs w:val="24"/>
        </w:rPr>
        <w:t xml:space="preserve">, </w:t>
      </w:r>
      <w:r w:rsidRPr="00F71686">
        <w:rPr>
          <w:rFonts w:cs="Times New Roman"/>
          <w:szCs w:val="24"/>
        </w:rPr>
        <w:t xml:space="preserve">2012-NMCA-106, ¶ 7; </w:t>
      </w:r>
      <w:r w:rsidRPr="00F71686">
        <w:rPr>
          <w:rFonts w:cs="Times New Roman"/>
          <w:i/>
          <w:iCs/>
          <w:szCs w:val="24"/>
        </w:rPr>
        <w:t>Rivas v. Bd. of Cosmetologists</w:t>
      </w:r>
      <w:r w:rsidRPr="00F71686">
        <w:rPr>
          <w:rFonts w:cs="Times New Roman"/>
          <w:szCs w:val="24"/>
        </w:rPr>
        <w:t>, 1984-NMSC-076, ¶ 3, 101 N.M. 592, 593.</w:t>
      </w:r>
      <w:r>
        <w:rPr>
          <w:rFonts w:cs="Times New Roman"/>
          <w:szCs w:val="24"/>
        </w:rPr>
        <w:t xml:space="preserve"> </w:t>
      </w:r>
      <w:r w:rsidR="00EA79FE">
        <w:rPr>
          <w:rFonts w:cs="Times New Roman"/>
          <w:szCs w:val="24"/>
        </w:rPr>
        <w:t xml:space="preserve"> </w:t>
      </w:r>
      <w:bookmarkEnd w:id="8"/>
      <w:r>
        <w:rPr>
          <w:rFonts w:cs="Times New Roman"/>
          <w:szCs w:val="24"/>
        </w:rPr>
        <w:t>“</w:t>
      </w:r>
      <w:r w:rsidRPr="00106144">
        <w:rPr>
          <w:rFonts w:cs="Times New Roman"/>
          <w:szCs w:val="24"/>
        </w:rPr>
        <w:t>Administrative bodies are creatures of statutes. As such they have no common law or inherent powers and can only act as to those matters which are within the scope of authority delegated to them.</w:t>
      </w:r>
      <w:r>
        <w:rPr>
          <w:rFonts w:cs="Times New Roman"/>
          <w:szCs w:val="24"/>
        </w:rPr>
        <w:t xml:space="preserve">”  </w:t>
      </w:r>
      <w:r w:rsidRPr="00106144">
        <w:rPr>
          <w:rFonts w:cs="Times New Roman"/>
          <w:i/>
          <w:iCs/>
          <w:szCs w:val="24"/>
        </w:rPr>
        <w:t xml:space="preserve">Pub. Serv. Co. of New Mexico v. New Mexico </w:t>
      </w:r>
      <w:proofErr w:type="spellStart"/>
      <w:r w:rsidRPr="00106144">
        <w:rPr>
          <w:rFonts w:cs="Times New Roman"/>
          <w:i/>
          <w:iCs/>
          <w:szCs w:val="24"/>
        </w:rPr>
        <w:t>Envtl</w:t>
      </w:r>
      <w:proofErr w:type="spellEnd"/>
      <w:r w:rsidRPr="00106144">
        <w:rPr>
          <w:rFonts w:cs="Times New Roman"/>
          <w:i/>
          <w:iCs/>
          <w:szCs w:val="24"/>
        </w:rPr>
        <w:t>. Imp</w:t>
      </w:r>
      <w:r>
        <w:rPr>
          <w:rFonts w:cs="Times New Roman"/>
          <w:i/>
          <w:iCs/>
          <w:szCs w:val="24"/>
        </w:rPr>
        <w:t>rovement</w:t>
      </w:r>
      <w:r w:rsidRPr="00106144">
        <w:rPr>
          <w:rFonts w:cs="Times New Roman"/>
          <w:i/>
          <w:iCs/>
          <w:szCs w:val="24"/>
        </w:rPr>
        <w:t xml:space="preserve"> Bd</w:t>
      </w:r>
      <w:r w:rsidRPr="00106144">
        <w:rPr>
          <w:rFonts w:cs="Times New Roman"/>
          <w:szCs w:val="24"/>
        </w:rPr>
        <w:t>., 1976-NMCA-039, ¶ 7, 89 N.M. 223, 226.</w:t>
      </w:r>
      <w:r>
        <w:t xml:space="preserve">  </w:t>
      </w:r>
      <w:r>
        <w:rPr>
          <w:rFonts w:cs="Times New Roman"/>
          <w:szCs w:val="24"/>
        </w:rPr>
        <w:t>“Th</w:t>
      </w:r>
      <w:r w:rsidRPr="00933547">
        <w:rPr>
          <w:rFonts w:cs="Times New Roman"/>
          <w:szCs w:val="24"/>
        </w:rPr>
        <w:t>ey can act only on matters that are within the scope of the authority that a statute has delegated to them either expressly or by necessary implicatio</w:t>
      </w:r>
      <w:r>
        <w:rPr>
          <w:rFonts w:cs="Times New Roman"/>
          <w:szCs w:val="24"/>
        </w:rPr>
        <w:t xml:space="preserve">n.”  </w:t>
      </w:r>
      <w:r w:rsidRPr="00933547">
        <w:rPr>
          <w:rFonts w:cs="Times New Roman"/>
          <w:i/>
          <w:iCs/>
          <w:szCs w:val="24"/>
        </w:rPr>
        <w:t xml:space="preserve">City of Albuquerque v. Am. </w:t>
      </w:r>
      <w:proofErr w:type="spellStart"/>
      <w:r w:rsidRPr="00933547">
        <w:rPr>
          <w:rFonts w:cs="Times New Roman"/>
          <w:i/>
          <w:iCs/>
          <w:szCs w:val="24"/>
        </w:rPr>
        <w:t>Fed'n</w:t>
      </w:r>
      <w:proofErr w:type="spellEnd"/>
      <w:r w:rsidRPr="00933547">
        <w:rPr>
          <w:rFonts w:cs="Times New Roman"/>
          <w:i/>
          <w:iCs/>
          <w:szCs w:val="24"/>
        </w:rPr>
        <w:t xml:space="preserve"> of State, </w:t>
      </w:r>
      <w:proofErr w:type="spellStart"/>
      <w:r w:rsidRPr="00933547">
        <w:rPr>
          <w:rFonts w:cs="Times New Roman"/>
          <w:i/>
          <w:iCs/>
          <w:szCs w:val="24"/>
        </w:rPr>
        <w:t>Cnty</w:t>
      </w:r>
      <w:proofErr w:type="spellEnd"/>
      <w:r>
        <w:rPr>
          <w:rFonts w:cs="Times New Roman"/>
          <w:i/>
          <w:iCs/>
          <w:szCs w:val="24"/>
        </w:rPr>
        <w:t>.</w:t>
      </w:r>
      <w:r w:rsidRPr="00933547">
        <w:rPr>
          <w:rFonts w:cs="Times New Roman"/>
          <w:i/>
          <w:iCs/>
          <w:szCs w:val="24"/>
        </w:rPr>
        <w:t xml:space="preserve"> &amp; Mun. Emp</w:t>
      </w:r>
      <w:r>
        <w:rPr>
          <w:rFonts w:cs="Times New Roman"/>
          <w:i/>
          <w:iCs/>
          <w:szCs w:val="24"/>
        </w:rPr>
        <w:t>s.</w:t>
      </w:r>
      <w:r w:rsidRPr="00933547">
        <w:rPr>
          <w:rFonts w:cs="Times New Roman"/>
          <w:i/>
          <w:iCs/>
          <w:szCs w:val="24"/>
        </w:rPr>
        <w:t xml:space="preserve"> Loc</w:t>
      </w:r>
      <w:r>
        <w:rPr>
          <w:rFonts w:cs="Times New Roman"/>
          <w:i/>
          <w:iCs/>
          <w:szCs w:val="24"/>
        </w:rPr>
        <w:t>.</w:t>
      </w:r>
      <w:r w:rsidRPr="00933547">
        <w:rPr>
          <w:rFonts w:cs="Times New Roman"/>
          <w:i/>
          <w:iCs/>
          <w:szCs w:val="24"/>
        </w:rPr>
        <w:t xml:space="preserve"> 1888</w:t>
      </w:r>
      <w:r w:rsidRPr="00933547">
        <w:rPr>
          <w:rFonts w:cs="Times New Roman"/>
          <w:szCs w:val="24"/>
        </w:rPr>
        <w:t>, 2015-NMCA-023, ¶</w:t>
      </w:r>
      <w:r>
        <w:rPr>
          <w:rFonts w:cs="Times New Roman"/>
          <w:szCs w:val="24"/>
        </w:rPr>
        <w:t xml:space="preserve"> </w:t>
      </w:r>
      <w:r w:rsidRPr="00933547">
        <w:rPr>
          <w:rFonts w:cs="Times New Roman"/>
          <w:szCs w:val="24"/>
        </w:rPr>
        <w:t>8</w:t>
      </w:r>
      <w:r>
        <w:rPr>
          <w:rFonts w:cs="Times New Roman"/>
          <w:szCs w:val="24"/>
        </w:rPr>
        <w:t xml:space="preserve"> (internal quotations omitted).  </w:t>
      </w:r>
      <w:r w:rsidRPr="00106144">
        <w:rPr>
          <w:rFonts w:cs="Times New Roman"/>
          <w:szCs w:val="24"/>
        </w:rPr>
        <w:t xml:space="preserve">An administrative agency is not allowed </w:t>
      </w:r>
      <w:r>
        <w:rPr>
          <w:rFonts w:cs="Times New Roman"/>
          <w:szCs w:val="24"/>
        </w:rPr>
        <w:t>“</w:t>
      </w:r>
      <w:r w:rsidRPr="00106144">
        <w:rPr>
          <w:rFonts w:cs="Times New Roman"/>
          <w:szCs w:val="24"/>
        </w:rPr>
        <w:t>to amend or enlarge its authority under the guise of making rules and regulations</w:t>
      </w:r>
      <w:r>
        <w:rPr>
          <w:rFonts w:cs="Times New Roman"/>
          <w:szCs w:val="24"/>
        </w:rPr>
        <w:t xml:space="preserve">.”  </w:t>
      </w:r>
      <w:r w:rsidR="00EB4EEA" w:rsidRPr="00EB4EEA">
        <w:rPr>
          <w:rFonts w:cs="Times New Roman"/>
          <w:i/>
          <w:iCs/>
          <w:szCs w:val="24"/>
        </w:rPr>
        <w:t xml:space="preserve"> </w:t>
      </w:r>
      <w:r w:rsidR="00EB4EEA" w:rsidRPr="00106144">
        <w:rPr>
          <w:rFonts w:cs="Times New Roman"/>
          <w:i/>
          <w:iCs/>
          <w:szCs w:val="24"/>
        </w:rPr>
        <w:t>Pub. Serv. Co. of New Mexico</w:t>
      </w:r>
      <w:r w:rsidRPr="00106144">
        <w:rPr>
          <w:rFonts w:cs="Times New Roman"/>
          <w:szCs w:val="24"/>
        </w:rPr>
        <w:t xml:space="preserve">, 1976-NMCA-039, ¶ </w:t>
      </w:r>
      <w:r>
        <w:rPr>
          <w:rFonts w:cs="Times New Roman"/>
          <w:szCs w:val="24"/>
        </w:rPr>
        <w:t xml:space="preserve">10. </w:t>
      </w:r>
    </w:p>
    <w:p w14:paraId="654D89CC" w14:textId="08B1B47F" w:rsidR="00C758AA" w:rsidRDefault="00C617ED" w:rsidP="00C617ED">
      <w:pPr>
        <w:spacing w:line="480" w:lineRule="auto"/>
        <w:ind w:firstLine="720"/>
        <w:contextualSpacing/>
        <w:jc w:val="both"/>
        <w:rPr>
          <w:rFonts w:cs="Times New Roman"/>
          <w:szCs w:val="24"/>
        </w:rPr>
      </w:pPr>
      <w:r>
        <w:rPr>
          <w:rFonts w:cs="Times New Roman"/>
          <w:szCs w:val="24"/>
        </w:rPr>
        <w:t>“</w:t>
      </w:r>
      <w:r w:rsidRPr="00F875A8">
        <w:rPr>
          <w:rFonts w:cs="Times New Roman"/>
          <w:szCs w:val="24"/>
        </w:rPr>
        <w:t xml:space="preserve">Whether an administrative body has acted beyond the scope of its authority is a question of statutory construction that </w:t>
      </w:r>
      <w:r>
        <w:rPr>
          <w:rFonts w:cs="Times New Roman"/>
          <w:szCs w:val="24"/>
        </w:rPr>
        <w:t>[</w:t>
      </w:r>
      <w:r w:rsidR="00A9397D">
        <w:rPr>
          <w:rFonts w:cs="Times New Roman"/>
          <w:szCs w:val="24"/>
        </w:rPr>
        <w:t>t</w:t>
      </w:r>
      <w:r>
        <w:rPr>
          <w:rFonts w:cs="Times New Roman"/>
          <w:szCs w:val="24"/>
        </w:rPr>
        <w:t xml:space="preserve">he New Mexico Court of Appeals] </w:t>
      </w:r>
      <w:r w:rsidRPr="00F875A8">
        <w:rPr>
          <w:rFonts w:cs="Times New Roman"/>
          <w:szCs w:val="24"/>
        </w:rPr>
        <w:t>review de novo.</w:t>
      </w:r>
      <w:r>
        <w:rPr>
          <w:rFonts w:cs="Times New Roman"/>
          <w:szCs w:val="24"/>
        </w:rPr>
        <w:t xml:space="preserve">” </w:t>
      </w:r>
      <w:r w:rsidRPr="00F875A8">
        <w:rPr>
          <w:rFonts w:cs="Times New Roman"/>
          <w:i/>
          <w:iCs/>
          <w:szCs w:val="24"/>
        </w:rPr>
        <w:t>City of Albuquerque</w:t>
      </w:r>
      <w:r w:rsidRPr="00F875A8">
        <w:rPr>
          <w:rFonts w:cs="Times New Roman"/>
          <w:szCs w:val="24"/>
        </w:rPr>
        <w:t>, 2015-NMCA-023, ¶ 9</w:t>
      </w:r>
      <w:r>
        <w:rPr>
          <w:rFonts w:cs="Times New Roman"/>
          <w:szCs w:val="24"/>
        </w:rPr>
        <w:t xml:space="preserve">. The Court examines the plain meaning of a statute to determine its legislative intent or purpose. </w:t>
      </w:r>
      <w:r w:rsidRPr="004D0B15">
        <w:rPr>
          <w:rFonts w:cs="Times New Roman"/>
          <w:i/>
          <w:iCs/>
          <w:szCs w:val="24"/>
        </w:rPr>
        <w:t>Gen. Motors Acceptance Corp. v. Anaya</w:t>
      </w:r>
      <w:r w:rsidRPr="004D0B15">
        <w:rPr>
          <w:rFonts w:cs="Times New Roman"/>
          <w:szCs w:val="24"/>
        </w:rPr>
        <w:t>, 1985-NMSC-066, ¶ 15, 103 N.M. 72, 76</w:t>
      </w:r>
      <w:r>
        <w:rPr>
          <w:rFonts w:cs="Times New Roman"/>
          <w:szCs w:val="24"/>
        </w:rPr>
        <w:t xml:space="preserve">; </w:t>
      </w:r>
      <w:r w:rsidRPr="00933547">
        <w:rPr>
          <w:rFonts w:cs="Times New Roman"/>
          <w:i/>
          <w:iCs/>
          <w:szCs w:val="24"/>
        </w:rPr>
        <w:t xml:space="preserve">Old </w:t>
      </w:r>
      <w:r w:rsidRPr="00B57E58">
        <w:rPr>
          <w:rFonts w:cs="Times New Roman"/>
          <w:i/>
          <w:iCs/>
          <w:szCs w:val="24"/>
        </w:rPr>
        <w:t>Abe Co. v. New Mexico Min. Comm'n</w:t>
      </w:r>
      <w:r w:rsidRPr="00B57E58">
        <w:rPr>
          <w:rFonts w:cs="Times New Roman"/>
          <w:szCs w:val="24"/>
        </w:rPr>
        <w:t xml:space="preserve">, 1995-NMCA-134, ¶ 18, 121 N.M. 83, 90. </w:t>
      </w:r>
      <w:r>
        <w:rPr>
          <w:rFonts w:cs="Times New Roman"/>
          <w:szCs w:val="24"/>
        </w:rPr>
        <w:t>“</w:t>
      </w:r>
      <w:r w:rsidRPr="004D0B15">
        <w:rPr>
          <w:rFonts w:cs="Times New Roman"/>
          <w:szCs w:val="24"/>
        </w:rPr>
        <w:t>Unless a contrary intent is clear, courts will read and give effect to statutes as written, attributing to the words their plain meaning.</w:t>
      </w:r>
      <w:r>
        <w:rPr>
          <w:rFonts w:cs="Times New Roman"/>
          <w:szCs w:val="24"/>
        </w:rPr>
        <w:t xml:space="preserve">”  </w:t>
      </w:r>
      <w:r w:rsidRPr="004D0B15">
        <w:rPr>
          <w:rFonts w:cs="Times New Roman"/>
          <w:i/>
          <w:iCs/>
          <w:szCs w:val="24"/>
        </w:rPr>
        <w:t>Waksman v. City of Albuquerque</w:t>
      </w:r>
      <w:r w:rsidRPr="004D0B15">
        <w:rPr>
          <w:rFonts w:cs="Times New Roman"/>
          <w:szCs w:val="24"/>
        </w:rPr>
        <w:t>, 1984-NMSC-114, ¶ 8, 102 N.M. 41, 43.</w:t>
      </w:r>
      <w:r>
        <w:rPr>
          <w:rFonts w:cs="Times New Roman"/>
          <w:szCs w:val="24"/>
        </w:rPr>
        <w:t xml:space="preserve">  </w:t>
      </w:r>
    </w:p>
    <w:p w14:paraId="34626990" w14:textId="0E3902F7" w:rsidR="00C617ED" w:rsidRDefault="000B2B47" w:rsidP="00457F0E">
      <w:pPr>
        <w:spacing w:after="0" w:line="480" w:lineRule="auto"/>
        <w:ind w:firstLine="720"/>
        <w:contextualSpacing/>
        <w:jc w:val="both"/>
        <w:rPr>
          <w:rFonts w:cs="Times New Roman"/>
          <w:szCs w:val="24"/>
        </w:rPr>
      </w:pPr>
      <w:r>
        <w:rPr>
          <w:rFonts w:cs="Times New Roman"/>
          <w:szCs w:val="24"/>
        </w:rPr>
        <w:t>New Mexico courts</w:t>
      </w:r>
      <w:r w:rsidR="00C617ED">
        <w:rPr>
          <w:rFonts w:cs="Times New Roman"/>
          <w:szCs w:val="24"/>
        </w:rPr>
        <w:t xml:space="preserve"> follow the plain-meaning rule of statutory construction “where the language is unambiguous.” </w:t>
      </w:r>
      <w:r w:rsidR="00C617ED" w:rsidRPr="00B57E58">
        <w:rPr>
          <w:rFonts w:cs="Times New Roman"/>
          <w:i/>
          <w:iCs/>
          <w:szCs w:val="24"/>
        </w:rPr>
        <w:t>Inv. Co. of the Sw. v. Reese</w:t>
      </w:r>
      <w:r w:rsidR="00C617ED" w:rsidRPr="00B57E58">
        <w:rPr>
          <w:rFonts w:cs="Times New Roman"/>
          <w:szCs w:val="24"/>
        </w:rPr>
        <w:t xml:space="preserve">, 1994-NMSC-051, ¶ 13, 117 N.M. 655, </w:t>
      </w:r>
      <w:r w:rsidR="00C617ED" w:rsidRPr="00B57E58">
        <w:rPr>
          <w:rFonts w:cs="Times New Roman"/>
          <w:szCs w:val="24"/>
        </w:rPr>
        <w:lastRenderedPageBreak/>
        <w:t>658.</w:t>
      </w:r>
      <w:r w:rsidR="00C617ED">
        <w:rPr>
          <w:rFonts w:cs="Times New Roman"/>
          <w:szCs w:val="24"/>
        </w:rPr>
        <w:t xml:space="preserve">  It will “not read into a statute or ordinance language which is not there, particularly if it makes sense as written.”  </w:t>
      </w:r>
      <w:r w:rsidR="00C617ED" w:rsidRPr="00C30194">
        <w:rPr>
          <w:rFonts w:cs="Times New Roman"/>
          <w:i/>
          <w:iCs/>
          <w:szCs w:val="24"/>
        </w:rPr>
        <w:t xml:space="preserve">Sw. Org. Project v. Albuquerque-Bernalillo </w:t>
      </w:r>
      <w:proofErr w:type="spellStart"/>
      <w:r w:rsidR="00C617ED" w:rsidRPr="00C30194">
        <w:rPr>
          <w:rFonts w:cs="Times New Roman"/>
          <w:i/>
          <w:iCs/>
          <w:szCs w:val="24"/>
        </w:rPr>
        <w:t>Cnty</w:t>
      </w:r>
      <w:proofErr w:type="spellEnd"/>
      <w:r w:rsidR="00C617ED">
        <w:rPr>
          <w:rFonts w:cs="Times New Roman"/>
          <w:i/>
          <w:iCs/>
          <w:szCs w:val="24"/>
        </w:rPr>
        <w:t>.</w:t>
      </w:r>
      <w:r w:rsidR="00C617ED" w:rsidRPr="00C30194">
        <w:rPr>
          <w:rFonts w:cs="Times New Roman"/>
          <w:i/>
          <w:iCs/>
          <w:szCs w:val="24"/>
        </w:rPr>
        <w:t xml:space="preserve"> Air Quality Control Bd</w:t>
      </w:r>
      <w:r w:rsidR="00C617ED" w:rsidRPr="00C30194">
        <w:rPr>
          <w:rFonts w:cs="Times New Roman"/>
          <w:szCs w:val="24"/>
        </w:rPr>
        <w:t>., 2021-NMCA-005, ¶ 11</w:t>
      </w:r>
      <w:r w:rsidR="00EA79FE">
        <w:rPr>
          <w:rFonts w:cs="Times New Roman"/>
          <w:szCs w:val="24"/>
        </w:rPr>
        <w:t>.</w:t>
      </w:r>
      <w:r w:rsidR="00C617ED">
        <w:rPr>
          <w:rFonts w:cs="Times New Roman"/>
          <w:szCs w:val="24"/>
        </w:rPr>
        <w:t xml:space="preserve">  </w:t>
      </w:r>
      <w:r w:rsidR="00C617ED" w:rsidRPr="00B57E58">
        <w:rPr>
          <w:rFonts w:cs="Times New Roman"/>
          <w:szCs w:val="24"/>
        </w:rPr>
        <w:t xml:space="preserve">The </w:t>
      </w:r>
      <w:r>
        <w:rPr>
          <w:rFonts w:cs="Times New Roman"/>
          <w:szCs w:val="24"/>
        </w:rPr>
        <w:t>c</w:t>
      </w:r>
      <w:r w:rsidR="00C617ED" w:rsidRPr="00B57E58">
        <w:rPr>
          <w:rFonts w:cs="Times New Roman"/>
          <w:szCs w:val="24"/>
        </w:rPr>
        <w:t xml:space="preserve">ourt only </w:t>
      </w:r>
      <w:r>
        <w:rPr>
          <w:rFonts w:cs="Times New Roman"/>
          <w:szCs w:val="24"/>
        </w:rPr>
        <w:t>looks beyond</w:t>
      </w:r>
      <w:r w:rsidR="00C617ED">
        <w:rPr>
          <w:rFonts w:cs="Times New Roman"/>
          <w:szCs w:val="24"/>
        </w:rPr>
        <w:t xml:space="preserve"> </w:t>
      </w:r>
      <w:r w:rsidR="00C617ED" w:rsidRPr="00B57E58">
        <w:rPr>
          <w:rFonts w:cs="Times New Roman"/>
          <w:szCs w:val="24"/>
        </w:rPr>
        <w:t xml:space="preserve">the four corners of the statute “when the literal wording of the language runs counter to the apparent intent of the statute, or when it creates consequences that the legislature could not have desired, or when the literal meaning leads to conclusions that are unjust or nonsensical.” </w:t>
      </w:r>
      <w:r w:rsidR="00C617ED" w:rsidRPr="00B57E58">
        <w:rPr>
          <w:rFonts w:cs="Times New Roman"/>
          <w:i/>
          <w:iCs/>
          <w:szCs w:val="24"/>
        </w:rPr>
        <w:t>Reese</w:t>
      </w:r>
      <w:r w:rsidR="00C617ED" w:rsidRPr="00B57E58">
        <w:rPr>
          <w:rFonts w:cs="Times New Roman"/>
          <w:szCs w:val="24"/>
        </w:rPr>
        <w:t>, 1994-NMSC-051, ¶ 13 (internal citations omitted).</w:t>
      </w:r>
      <w:r w:rsidR="00C617ED">
        <w:rPr>
          <w:rFonts w:cs="Times New Roman"/>
          <w:szCs w:val="24"/>
        </w:rPr>
        <w:t xml:space="preserve"> </w:t>
      </w:r>
    </w:p>
    <w:p w14:paraId="56189764" w14:textId="4DE6EE90" w:rsidR="00202109" w:rsidRDefault="00202109" w:rsidP="00F24B98">
      <w:pPr>
        <w:pStyle w:val="Heading3"/>
      </w:pPr>
      <w:bookmarkStart w:id="9" w:name="_Toc93568144"/>
      <w:r>
        <w:t>A.</w:t>
      </w:r>
      <w:r>
        <w:tab/>
      </w:r>
      <w:r w:rsidR="005B6319" w:rsidRPr="0092321B">
        <w:t xml:space="preserve">The Board is limited to </w:t>
      </w:r>
      <w:r w:rsidRPr="0092321B">
        <w:t xml:space="preserve">the express provisions of </w:t>
      </w:r>
      <w:r w:rsidR="005B6319" w:rsidRPr="0092321B">
        <w:t>its statutory mandate</w:t>
      </w:r>
      <w:r w:rsidRPr="00202109">
        <w:t xml:space="preserve"> </w:t>
      </w:r>
      <w:r w:rsidRPr="007F7BDC">
        <w:t>in its rulemaking capacity</w:t>
      </w:r>
      <w:r w:rsidR="005B6319" w:rsidRPr="0092321B">
        <w:t>.</w:t>
      </w:r>
      <w:bookmarkEnd w:id="9"/>
    </w:p>
    <w:p w14:paraId="0FE33C1F" w14:textId="77777777" w:rsidR="00202109" w:rsidRPr="00202109" w:rsidRDefault="00202109" w:rsidP="004650DC">
      <w:pPr>
        <w:spacing w:after="0" w:line="240" w:lineRule="auto"/>
      </w:pPr>
    </w:p>
    <w:p w14:paraId="3E788D02" w14:textId="180BAEA0" w:rsidR="00C617ED" w:rsidRDefault="00C617ED" w:rsidP="00FF4116">
      <w:pPr>
        <w:spacing w:after="0" w:line="480" w:lineRule="auto"/>
        <w:ind w:firstLine="720"/>
        <w:contextualSpacing/>
        <w:jc w:val="both"/>
        <w:rPr>
          <w:rFonts w:cs="Times New Roman"/>
          <w:szCs w:val="24"/>
        </w:rPr>
      </w:pPr>
      <w:r>
        <w:rPr>
          <w:rFonts w:cs="Times New Roman"/>
          <w:szCs w:val="24"/>
        </w:rPr>
        <w:t xml:space="preserve">In this rulemaking, the Board </w:t>
      </w:r>
      <w:proofErr w:type="gramStart"/>
      <w:r w:rsidR="000B2B47">
        <w:rPr>
          <w:rFonts w:cs="Times New Roman"/>
          <w:szCs w:val="24"/>
        </w:rPr>
        <w:t>would</w:t>
      </w:r>
      <w:proofErr w:type="gramEnd"/>
      <w:r w:rsidR="000B2B47">
        <w:rPr>
          <w:rFonts w:cs="Times New Roman"/>
          <w:szCs w:val="24"/>
        </w:rPr>
        <w:t xml:space="preserve"> </w:t>
      </w:r>
      <w:r>
        <w:rPr>
          <w:rFonts w:cs="Times New Roman"/>
          <w:szCs w:val="24"/>
        </w:rPr>
        <w:t xml:space="preserve">exceed its statutory authority </w:t>
      </w:r>
      <w:r w:rsidR="000B2B47">
        <w:rPr>
          <w:rFonts w:cs="Times New Roman"/>
          <w:szCs w:val="24"/>
        </w:rPr>
        <w:t>if it</w:t>
      </w:r>
      <w:r>
        <w:rPr>
          <w:rFonts w:cs="Times New Roman"/>
          <w:szCs w:val="24"/>
        </w:rPr>
        <w:t xml:space="preserve"> </w:t>
      </w:r>
      <w:r w:rsidR="000B2B47">
        <w:rPr>
          <w:rFonts w:cs="Times New Roman"/>
          <w:szCs w:val="24"/>
        </w:rPr>
        <w:t>predicates adoption</w:t>
      </w:r>
      <w:r>
        <w:rPr>
          <w:rFonts w:cs="Times New Roman"/>
          <w:szCs w:val="24"/>
        </w:rPr>
        <w:t xml:space="preserve"> </w:t>
      </w:r>
      <w:r w:rsidR="00457F0E">
        <w:rPr>
          <w:rFonts w:cs="Times New Roman"/>
          <w:szCs w:val="24"/>
        </w:rPr>
        <w:t xml:space="preserve">of </w:t>
      </w:r>
      <w:r w:rsidR="00305F6B">
        <w:rPr>
          <w:rFonts w:cs="Times New Roman"/>
          <w:szCs w:val="24"/>
        </w:rPr>
        <w:t xml:space="preserve">any portion of </w:t>
      </w:r>
      <w:r>
        <w:rPr>
          <w:rFonts w:cs="Times New Roman"/>
          <w:szCs w:val="24"/>
        </w:rPr>
        <w:t xml:space="preserve">Part 50 based </w:t>
      </w:r>
      <w:r w:rsidR="000B2B47">
        <w:rPr>
          <w:rFonts w:cs="Times New Roman"/>
          <w:szCs w:val="24"/>
        </w:rPr>
        <w:t xml:space="preserve">primarily </w:t>
      </w:r>
      <w:r>
        <w:rPr>
          <w:rFonts w:cs="Times New Roman"/>
          <w:szCs w:val="24"/>
        </w:rPr>
        <w:t>on methane reductions.  The language of Section 74-2-5(C) is self-evident:</w:t>
      </w:r>
    </w:p>
    <w:p w14:paraId="31C65B72" w14:textId="77777777" w:rsidR="00C617ED" w:rsidRDefault="00C617ED" w:rsidP="00C617ED">
      <w:pPr>
        <w:spacing w:line="240" w:lineRule="auto"/>
        <w:ind w:left="720" w:right="720"/>
        <w:contextualSpacing/>
        <w:jc w:val="both"/>
        <w:rPr>
          <w:rFonts w:cs="Times New Roman"/>
          <w:szCs w:val="24"/>
        </w:rPr>
      </w:pPr>
      <w:r w:rsidRPr="007437F3">
        <w:rPr>
          <w:rFonts w:cs="Times New Roman"/>
          <w:szCs w:val="24"/>
        </w:rPr>
        <w:t xml:space="preserve">If the environmental improvement board or the local board determines that emissions from sources within the environmental improvement board's jurisdiction or the local board's jurisdiction cause or contribute to ozone concentrations in excess of ninety-five percent of the primary national ambient air quality standard for ozone promulgated pursuant to the federal act, </w:t>
      </w:r>
      <w:r w:rsidRPr="00457F0E">
        <w:rPr>
          <w:rFonts w:cs="Times New Roman"/>
          <w:b/>
          <w:bCs/>
          <w:i/>
          <w:iCs/>
          <w:szCs w:val="24"/>
        </w:rPr>
        <w:t>the environmental improvement board or</w:t>
      </w:r>
      <w:r w:rsidRPr="00457F0E">
        <w:rPr>
          <w:rFonts w:cs="Times New Roman"/>
          <w:b/>
          <w:bCs/>
          <w:szCs w:val="24"/>
        </w:rPr>
        <w:t xml:space="preserve"> </w:t>
      </w:r>
      <w:r w:rsidRPr="00457F0E">
        <w:rPr>
          <w:rFonts w:cs="Times New Roman"/>
          <w:b/>
          <w:bCs/>
          <w:i/>
          <w:iCs/>
          <w:szCs w:val="24"/>
        </w:rPr>
        <w:t>the local board shall adopt a plan, including rules, to control emissions of oxides of nitrogen and volatile organic compounds to provide for attainment and maintenance of the standard</w:t>
      </w:r>
      <w:r w:rsidRPr="00457F0E">
        <w:rPr>
          <w:rFonts w:cs="Times New Roman"/>
          <w:b/>
          <w:bCs/>
          <w:szCs w:val="24"/>
        </w:rPr>
        <w:t>.</w:t>
      </w:r>
      <w:r>
        <w:rPr>
          <w:rStyle w:val="FootnoteReference"/>
          <w:rFonts w:cs="Times New Roman"/>
          <w:szCs w:val="24"/>
        </w:rPr>
        <w:footnoteReference w:id="2"/>
      </w:r>
      <w:r w:rsidRPr="007437F3">
        <w:rPr>
          <w:rFonts w:cs="Times New Roman"/>
          <w:szCs w:val="24"/>
        </w:rPr>
        <w:t xml:space="preserve"> </w:t>
      </w:r>
    </w:p>
    <w:p w14:paraId="21AEF676" w14:textId="77777777" w:rsidR="00C617ED" w:rsidRDefault="00C617ED" w:rsidP="00C617ED">
      <w:pPr>
        <w:spacing w:line="240" w:lineRule="auto"/>
        <w:ind w:left="720" w:right="720"/>
        <w:contextualSpacing/>
        <w:jc w:val="both"/>
        <w:rPr>
          <w:rFonts w:cs="Times New Roman"/>
          <w:szCs w:val="24"/>
        </w:rPr>
      </w:pPr>
    </w:p>
    <w:p w14:paraId="24D42648" w14:textId="1394A176" w:rsidR="00C617ED" w:rsidRDefault="00C617ED" w:rsidP="000B2B47">
      <w:pPr>
        <w:spacing w:line="480" w:lineRule="auto"/>
        <w:contextualSpacing/>
        <w:jc w:val="both"/>
        <w:rPr>
          <w:rFonts w:cs="Times New Roman"/>
          <w:szCs w:val="24"/>
        </w:rPr>
      </w:pPr>
      <w:r>
        <w:rPr>
          <w:rFonts w:cs="Times New Roman"/>
          <w:szCs w:val="24"/>
        </w:rPr>
        <w:t xml:space="preserve">(Emphasis added).  Stated another way, the Board must regulate NOx and VOC when the condition in Section 74-2-5(C) is triggered.  As the language in Section 74-2-5(C) is clear and unambiguous </w:t>
      </w:r>
      <w:r>
        <w:rPr>
          <w:rFonts w:cs="Times New Roman"/>
          <w:szCs w:val="24"/>
        </w:rPr>
        <w:lastRenderedPageBreak/>
        <w:t xml:space="preserve">as written, the plain meaning must be followed, and the Board may not “read into a statute or ordinance language which is not there.”  </w:t>
      </w:r>
      <w:r w:rsidRPr="009E7DCD">
        <w:rPr>
          <w:rFonts w:cs="Times New Roman"/>
          <w:i/>
          <w:iCs/>
          <w:szCs w:val="24"/>
        </w:rPr>
        <w:t>See Sw. Org. Project</w:t>
      </w:r>
      <w:r>
        <w:rPr>
          <w:rFonts w:cs="Times New Roman"/>
          <w:szCs w:val="24"/>
        </w:rPr>
        <w:t xml:space="preserve">, </w:t>
      </w:r>
      <w:r w:rsidRPr="009E7DCD">
        <w:rPr>
          <w:rFonts w:cs="Times New Roman"/>
          <w:szCs w:val="24"/>
        </w:rPr>
        <w:t>2021-NMCA-005, ¶ 11</w:t>
      </w:r>
      <w:r>
        <w:rPr>
          <w:rFonts w:cs="Times New Roman"/>
          <w:szCs w:val="24"/>
        </w:rPr>
        <w:t xml:space="preserve">.  </w:t>
      </w:r>
    </w:p>
    <w:p w14:paraId="064B86A4" w14:textId="635311F0" w:rsidR="005B6319" w:rsidRDefault="00202109" w:rsidP="00F24B98">
      <w:pPr>
        <w:pStyle w:val="Heading3"/>
      </w:pPr>
      <w:bookmarkStart w:id="10" w:name="_Toc93568145"/>
      <w:r w:rsidRPr="00E2126A">
        <w:t>B.</w:t>
      </w:r>
      <w:r w:rsidRPr="00E2126A">
        <w:tab/>
      </w:r>
      <w:r w:rsidR="005B6319" w:rsidRPr="00E2126A">
        <w:t>The Board may not formulate its rules based on reasons outside of its statutory mandate.</w:t>
      </w:r>
      <w:bookmarkEnd w:id="10"/>
    </w:p>
    <w:p w14:paraId="1A72A393" w14:textId="77777777" w:rsidR="00202109" w:rsidRPr="00E2126A" w:rsidRDefault="00202109" w:rsidP="00E2126A">
      <w:pPr>
        <w:spacing w:after="0" w:line="240" w:lineRule="auto"/>
        <w:contextualSpacing/>
        <w:jc w:val="both"/>
        <w:rPr>
          <w:b/>
          <w:bCs/>
        </w:rPr>
      </w:pPr>
    </w:p>
    <w:p w14:paraId="57C68A63" w14:textId="273E86B4" w:rsidR="00C617ED" w:rsidRDefault="00C617ED" w:rsidP="00C617ED">
      <w:pPr>
        <w:spacing w:line="480" w:lineRule="auto"/>
        <w:ind w:firstLine="720"/>
        <w:contextualSpacing/>
        <w:jc w:val="both"/>
        <w:rPr>
          <w:rFonts w:cs="Times New Roman"/>
          <w:szCs w:val="24"/>
        </w:rPr>
      </w:pPr>
      <w:r>
        <w:rPr>
          <w:rFonts w:cs="Times New Roman"/>
          <w:szCs w:val="24"/>
        </w:rPr>
        <w:t xml:space="preserve">The Board may not predicate a rule beyond the reasons expressed in its statutory mandate.  </w:t>
      </w:r>
      <w:r w:rsidRPr="00C4414D">
        <w:rPr>
          <w:rFonts w:cs="Times New Roman"/>
          <w:i/>
          <w:iCs/>
          <w:szCs w:val="24"/>
        </w:rPr>
        <w:t xml:space="preserve">See </w:t>
      </w:r>
      <w:r w:rsidR="000B2B47" w:rsidRPr="00243294">
        <w:rPr>
          <w:rFonts w:cs="Times New Roman"/>
          <w:i/>
          <w:iCs/>
          <w:szCs w:val="24"/>
        </w:rPr>
        <w:t>Pub. Serv. Co. of New Mexico</w:t>
      </w:r>
      <w:r w:rsidRPr="00C4414D">
        <w:rPr>
          <w:rFonts w:cs="Times New Roman"/>
          <w:szCs w:val="24"/>
        </w:rPr>
        <w:t>, 1976-NMCA-039, ¶ 10</w:t>
      </w:r>
      <w:r>
        <w:rPr>
          <w:rFonts w:cs="Times New Roman"/>
          <w:szCs w:val="24"/>
        </w:rPr>
        <w:t xml:space="preserve">.  In </w:t>
      </w:r>
      <w:bookmarkStart w:id="11" w:name="_Hlk93313694"/>
      <w:r w:rsidRPr="00243294">
        <w:rPr>
          <w:rFonts w:cs="Times New Roman"/>
          <w:i/>
          <w:iCs/>
          <w:szCs w:val="24"/>
        </w:rPr>
        <w:t>Pub. Serv. Co. of New Mexico</w:t>
      </w:r>
      <w:bookmarkEnd w:id="11"/>
      <w:r w:rsidRPr="00243294">
        <w:rPr>
          <w:rFonts w:cs="Times New Roman"/>
          <w:szCs w:val="24"/>
        </w:rPr>
        <w:t xml:space="preserve">, </w:t>
      </w:r>
      <w:r>
        <w:rPr>
          <w:rFonts w:cs="Times New Roman"/>
          <w:szCs w:val="24"/>
        </w:rPr>
        <w:t xml:space="preserve">the Board adopted a rule limiting sulfur dioxide emissions </w:t>
      </w:r>
      <w:r w:rsidR="00060245">
        <w:rPr>
          <w:rFonts w:cs="Times New Roman"/>
          <w:szCs w:val="24"/>
        </w:rPr>
        <w:t xml:space="preserve">from the San Juan Generating Station and the Four Corners Power Plant </w:t>
      </w:r>
      <w:r>
        <w:rPr>
          <w:rFonts w:cs="Times New Roman"/>
          <w:szCs w:val="24"/>
        </w:rPr>
        <w:t xml:space="preserve">to create “more room . . . for new industry in the Four Corners Area.”  </w:t>
      </w:r>
      <w:r w:rsidRPr="00243294">
        <w:rPr>
          <w:rFonts w:cs="Times New Roman"/>
          <w:szCs w:val="24"/>
        </w:rPr>
        <w:t>1976-NMCA-039, ¶ 6</w:t>
      </w:r>
      <w:r>
        <w:rPr>
          <w:rFonts w:cs="Times New Roman"/>
          <w:szCs w:val="24"/>
        </w:rPr>
        <w:t xml:space="preserve">.  </w:t>
      </w:r>
      <w:r w:rsidR="00C758AA">
        <w:rPr>
          <w:rFonts w:cs="Times New Roman"/>
          <w:szCs w:val="24"/>
        </w:rPr>
        <w:t xml:space="preserve"> </w:t>
      </w:r>
      <w:r>
        <w:rPr>
          <w:rFonts w:cs="Times New Roman"/>
          <w:szCs w:val="24"/>
        </w:rPr>
        <w:t xml:space="preserve">PNM </w:t>
      </w:r>
      <w:r w:rsidR="00060245">
        <w:rPr>
          <w:rFonts w:cs="Times New Roman"/>
          <w:szCs w:val="24"/>
        </w:rPr>
        <w:t xml:space="preserve">and others </w:t>
      </w:r>
      <w:r>
        <w:rPr>
          <w:rFonts w:cs="Times New Roman"/>
          <w:szCs w:val="24"/>
        </w:rPr>
        <w:t xml:space="preserve">challenged the regulation as “not in accordance with law.” </w:t>
      </w:r>
      <w:r w:rsidRPr="00243294">
        <w:rPr>
          <w:rFonts w:cs="Times New Roman"/>
          <w:i/>
          <w:iCs/>
          <w:szCs w:val="24"/>
        </w:rPr>
        <w:t>Id</w:t>
      </w:r>
      <w:r>
        <w:rPr>
          <w:rFonts w:cs="Times New Roman"/>
          <w:szCs w:val="24"/>
        </w:rPr>
        <w:t xml:space="preserve">. </w:t>
      </w:r>
      <w:r w:rsidRPr="00243294">
        <w:rPr>
          <w:rFonts w:cs="Times New Roman"/>
          <w:szCs w:val="24"/>
        </w:rPr>
        <w:t>¶ 2</w:t>
      </w:r>
      <w:r>
        <w:rPr>
          <w:rFonts w:cs="Times New Roman"/>
          <w:szCs w:val="24"/>
        </w:rPr>
        <w:t xml:space="preserve">; </w:t>
      </w:r>
      <w:r w:rsidRPr="00243294">
        <w:rPr>
          <w:rFonts w:cs="Times New Roman"/>
          <w:i/>
          <w:iCs/>
          <w:szCs w:val="24"/>
        </w:rPr>
        <w:t>see also</w:t>
      </w:r>
      <w:r>
        <w:rPr>
          <w:rFonts w:cs="Times New Roman"/>
          <w:szCs w:val="24"/>
        </w:rPr>
        <w:t xml:space="preserve"> § </w:t>
      </w:r>
      <w:r w:rsidRPr="00243294">
        <w:rPr>
          <w:rFonts w:cs="Times New Roman"/>
          <w:szCs w:val="24"/>
        </w:rPr>
        <w:t>74-2-9(C)</w:t>
      </w:r>
      <w:r>
        <w:rPr>
          <w:rFonts w:cs="Times New Roman"/>
          <w:szCs w:val="24"/>
        </w:rPr>
        <w:t xml:space="preserve">.  In reviewing whether the Board exceeded its statutory authority, the Court found that its legislative mandate was “[to] prevent or abate air pollution” and that </w:t>
      </w:r>
      <w:r w:rsidR="00060245">
        <w:rPr>
          <w:rFonts w:cs="Times New Roman"/>
          <w:szCs w:val="24"/>
        </w:rPr>
        <w:t>the ambient air quality standard</w:t>
      </w:r>
      <w:r>
        <w:rPr>
          <w:rFonts w:cs="Times New Roman"/>
          <w:szCs w:val="24"/>
        </w:rPr>
        <w:t xml:space="preserve"> established the concentration at which sulfur dioxide constituted air pollution.  </w:t>
      </w:r>
      <w:r w:rsidRPr="00412D8F">
        <w:rPr>
          <w:rFonts w:cs="Times New Roman"/>
          <w:i/>
          <w:iCs/>
          <w:szCs w:val="24"/>
        </w:rPr>
        <w:t>Id</w:t>
      </w:r>
      <w:r w:rsidRPr="00412D8F">
        <w:rPr>
          <w:rFonts w:cs="Times New Roman"/>
          <w:szCs w:val="24"/>
        </w:rPr>
        <w:t>. ¶¶</w:t>
      </w:r>
      <w:r>
        <w:rPr>
          <w:rFonts w:cs="Times New Roman"/>
          <w:szCs w:val="24"/>
        </w:rPr>
        <w:t xml:space="preserve"> 6-7.  </w:t>
      </w:r>
    </w:p>
    <w:p w14:paraId="30199809" w14:textId="27E1B995" w:rsidR="00EE3199" w:rsidRDefault="00C617ED" w:rsidP="00E2126A">
      <w:pPr>
        <w:spacing w:after="0" w:line="480" w:lineRule="auto"/>
        <w:ind w:firstLine="720"/>
        <w:contextualSpacing/>
        <w:jc w:val="both"/>
        <w:rPr>
          <w:rFonts w:cs="Times New Roman"/>
          <w:szCs w:val="24"/>
        </w:rPr>
      </w:pPr>
      <w:r>
        <w:rPr>
          <w:rFonts w:cs="Times New Roman"/>
          <w:szCs w:val="24"/>
        </w:rPr>
        <w:t>The Court held in</w:t>
      </w:r>
      <w:r w:rsidR="00060245" w:rsidRPr="00060245">
        <w:rPr>
          <w:rFonts w:cs="Times New Roman"/>
          <w:i/>
          <w:iCs/>
          <w:szCs w:val="24"/>
        </w:rPr>
        <w:t xml:space="preserve"> </w:t>
      </w:r>
      <w:r w:rsidR="00060245" w:rsidRPr="00243294">
        <w:rPr>
          <w:rFonts w:cs="Times New Roman"/>
          <w:i/>
          <w:iCs/>
          <w:szCs w:val="24"/>
        </w:rPr>
        <w:t>Pub. Serv. Co. of New Mexico</w:t>
      </w:r>
      <w:r>
        <w:rPr>
          <w:rFonts w:cs="Times New Roman"/>
          <w:szCs w:val="24"/>
        </w:rPr>
        <w:t xml:space="preserve"> that “[t]here is </w:t>
      </w:r>
      <w:r w:rsidRPr="0007632C">
        <w:rPr>
          <w:rFonts w:cs="Times New Roman"/>
          <w:szCs w:val="24"/>
        </w:rPr>
        <w:t>nothing in the board's mandate that gives it the authority to plan for the industrial development of the area or any other area in the State</w:t>
      </w:r>
      <w:r>
        <w:rPr>
          <w:rFonts w:cs="Times New Roman"/>
          <w:szCs w:val="24"/>
        </w:rPr>
        <w:t xml:space="preserve">.” </w:t>
      </w:r>
      <w:r w:rsidRPr="00243294">
        <w:rPr>
          <w:rFonts w:cs="Times New Roman"/>
          <w:szCs w:val="24"/>
        </w:rPr>
        <w:t>1976-NMCA-039</w:t>
      </w:r>
      <w:r>
        <w:rPr>
          <w:rFonts w:cs="Times New Roman"/>
          <w:szCs w:val="24"/>
        </w:rPr>
        <w:t xml:space="preserve">, </w:t>
      </w:r>
      <w:r w:rsidRPr="0007632C">
        <w:rPr>
          <w:rFonts w:cs="Times New Roman"/>
          <w:szCs w:val="24"/>
        </w:rPr>
        <w:t xml:space="preserve">¶ </w:t>
      </w:r>
      <w:r>
        <w:rPr>
          <w:rFonts w:cs="Times New Roman"/>
          <w:szCs w:val="24"/>
        </w:rPr>
        <w:t>10.  The Court found that “the Board’s enactment of the regulation is not in accordance with the law.</w:t>
      </w:r>
      <w:r w:rsidR="00850E93">
        <w:rPr>
          <w:rFonts w:cs="Times New Roman"/>
          <w:szCs w:val="24"/>
        </w:rPr>
        <w:t xml:space="preserve">” </w:t>
      </w:r>
      <w:r>
        <w:rPr>
          <w:rFonts w:cs="Times New Roman"/>
          <w:szCs w:val="24"/>
        </w:rPr>
        <w:t xml:space="preserve"> </w:t>
      </w:r>
      <w:r w:rsidRPr="009262A2">
        <w:rPr>
          <w:rFonts w:cs="Times New Roman"/>
          <w:i/>
          <w:iCs/>
          <w:szCs w:val="24"/>
        </w:rPr>
        <w:t>Id</w:t>
      </w:r>
      <w:r>
        <w:rPr>
          <w:rFonts w:cs="Times New Roman"/>
          <w:szCs w:val="24"/>
        </w:rPr>
        <w:t xml:space="preserve">. </w:t>
      </w:r>
      <w:r w:rsidRPr="0007632C">
        <w:rPr>
          <w:rFonts w:cs="Times New Roman"/>
          <w:szCs w:val="24"/>
        </w:rPr>
        <w:t>¶</w:t>
      </w:r>
      <w:r>
        <w:rPr>
          <w:rFonts w:cs="Times New Roman"/>
          <w:szCs w:val="24"/>
        </w:rPr>
        <w:t xml:space="preserve"> 2</w:t>
      </w:r>
      <w:r w:rsidR="001744F2">
        <w:rPr>
          <w:rFonts w:cs="Times New Roman"/>
          <w:szCs w:val="24"/>
        </w:rPr>
        <w:t xml:space="preserve">.  </w:t>
      </w:r>
      <w:r>
        <w:rPr>
          <w:rFonts w:cs="Times New Roman"/>
          <w:szCs w:val="24"/>
        </w:rPr>
        <w:t xml:space="preserve">While the </w:t>
      </w:r>
      <w:r w:rsidR="00EE3199" w:rsidRPr="00EE3199">
        <w:rPr>
          <w:rFonts w:cs="Times New Roman"/>
          <w:i/>
          <w:iCs/>
          <w:szCs w:val="24"/>
        </w:rPr>
        <w:t>Pub. Serv. Co. of New Mexico</w:t>
      </w:r>
      <w:r w:rsidR="00850E93">
        <w:rPr>
          <w:rFonts w:cs="Times New Roman"/>
          <w:i/>
          <w:iCs/>
          <w:szCs w:val="24"/>
        </w:rPr>
        <w:t xml:space="preserve"> </w:t>
      </w:r>
      <w:r>
        <w:rPr>
          <w:rFonts w:cs="Times New Roman"/>
          <w:szCs w:val="24"/>
        </w:rPr>
        <w:t>Court acknowledged that regulations impact industrial development, “such an impact should be as a consequence[,] not by design.”</w:t>
      </w:r>
      <w:r w:rsidR="00D648AB">
        <w:rPr>
          <w:rFonts w:cs="Times New Roman"/>
          <w:szCs w:val="24"/>
        </w:rPr>
        <w:t xml:space="preserve"> </w:t>
      </w:r>
      <w:r>
        <w:rPr>
          <w:rFonts w:cs="Times New Roman"/>
          <w:szCs w:val="24"/>
        </w:rPr>
        <w:t xml:space="preserve"> </w:t>
      </w:r>
      <w:r w:rsidRPr="009C0219">
        <w:rPr>
          <w:rFonts w:cs="Times New Roman"/>
          <w:i/>
          <w:iCs/>
          <w:szCs w:val="24"/>
        </w:rPr>
        <w:t>Id</w:t>
      </w:r>
      <w:r>
        <w:rPr>
          <w:rFonts w:cs="Times New Roman"/>
          <w:szCs w:val="24"/>
        </w:rPr>
        <w:t xml:space="preserve">. </w:t>
      </w:r>
      <w:r w:rsidRPr="0007632C">
        <w:rPr>
          <w:rFonts w:cs="Times New Roman"/>
          <w:szCs w:val="24"/>
        </w:rPr>
        <w:t xml:space="preserve">¶ </w:t>
      </w:r>
      <w:r>
        <w:rPr>
          <w:rFonts w:cs="Times New Roman"/>
          <w:szCs w:val="24"/>
        </w:rPr>
        <w:t xml:space="preserve">10.  </w:t>
      </w:r>
    </w:p>
    <w:p w14:paraId="44DFC397" w14:textId="618E230F" w:rsidR="005B6319" w:rsidRPr="00E2126A" w:rsidRDefault="00EE3199" w:rsidP="00E2126A">
      <w:pPr>
        <w:spacing w:after="0" w:line="480" w:lineRule="auto"/>
        <w:ind w:firstLine="720"/>
        <w:contextualSpacing/>
        <w:jc w:val="both"/>
        <w:rPr>
          <w:rFonts w:cs="Times New Roman"/>
          <w:szCs w:val="24"/>
        </w:rPr>
      </w:pPr>
      <w:r>
        <w:rPr>
          <w:rFonts w:cs="Times New Roman"/>
          <w:szCs w:val="24"/>
        </w:rPr>
        <w:t>Here, t</w:t>
      </w:r>
      <w:r w:rsidR="00C617ED">
        <w:rPr>
          <w:rFonts w:cs="Times New Roman"/>
          <w:szCs w:val="24"/>
        </w:rPr>
        <w:t>he Department’s Statement of Reasons makes all too clear that certain proposed provisions in Part 50 are intentionally designed to reduce methane: “</w:t>
      </w:r>
      <w:r w:rsidR="00C617ED" w:rsidRPr="00D521AF">
        <w:rPr>
          <w:rFonts w:cs="Times New Roman"/>
          <w:szCs w:val="24"/>
        </w:rPr>
        <w:t>The emissions standards, operational standards, and requirements for monitoring,</w:t>
      </w:r>
      <w:r w:rsidR="00C617ED">
        <w:rPr>
          <w:rFonts w:cs="Times New Roman"/>
          <w:szCs w:val="24"/>
        </w:rPr>
        <w:t xml:space="preserve"> </w:t>
      </w:r>
      <w:r w:rsidR="00C617ED" w:rsidRPr="00D521AF">
        <w:rPr>
          <w:rFonts w:cs="Times New Roman"/>
          <w:szCs w:val="24"/>
        </w:rPr>
        <w:t>recordkeeping, and reporting in Part 50 will also result in significant reductions in methane</w:t>
      </w:r>
      <w:r w:rsidR="00C617ED">
        <w:rPr>
          <w:rFonts w:cs="Times New Roman"/>
          <w:szCs w:val="24"/>
        </w:rPr>
        <w:t xml:space="preserve"> </w:t>
      </w:r>
      <w:r w:rsidR="00C617ED" w:rsidRPr="00D521AF">
        <w:rPr>
          <w:rFonts w:cs="Times New Roman"/>
          <w:szCs w:val="24"/>
        </w:rPr>
        <w:t>emissions from the oil and gas sector.</w:t>
      </w:r>
      <w:r w:rsidR="00C617ED">
        <w:rPr>
          <w:rFonts w:cs="Times New Roman"/>
          <w:szCs w:val="24"/>
        </w:rPr>
        <w:t xml:space="preserve">” Statement of Reasons at 5.  If the Board bases </w:t>
      </w:r>
      <w:r>
        <w:rPr>
          <w:rFonts w:cs="Times New Roman"/>
          <w:szCs w:val="24"/>
        </w:rPr>
        <w:t xml:space="preserve">approval of the </w:t>
      </w:r>
      <w:r w:rsidR="00C617ED">
        <w:rPr>
          <w:rFonts w:cs="Times New Roman"/>
          <w:szCs w:val="24"/>
        </w:rPr>
        <w:t xml:space="preserve">regulations in Part 50 on methane </w:t>
      </w:r>
      <w:r w:rsidR="00C617ED">
        <w:rPr>
          <w:rFonts w:cs="Times New Roman"/>
          <w:szCs w:val="24"/>
        </w:rPr>
        <w:lastRenderedPageBreak/>
        <w:t xml:space="preserve">reductions, its actions will impermissibly enlarge its statutory authority </w:t>
      </w:r>
      <w:r>
        <w:rPr>
          <w:rFonts w:cs="Times New Roman"/>
          <w:szCs w:val="24"/>
        </w:rPr>
        <w:t xml:space="preserve">and will </w:t>
      </w:r>
      <w:r w:rsidR="00C617ED">
        <w:rPr>
          <w:rFonts w:cs="Times New Roman"/>
          <w:szCs w:val="24"/>
        </w:rPr>
        <w:t>not be in accordance with law.</w:t>
      </w:r>
      <w:r w:rsidR="00305F6B">
        <w:rPr>
          <w:rStyle w:val="FootnoteReference"/>
          <w:rFonts w:cs="Times New Roman"/>
          <w:szCs w:val="24"/>
        </w:rPr>
        <w:footnoteReference w:id="3"/>
      </w:r>
      <w:r w:rsidR="00C617ED">
        <w:rPr>
          <w:rFonts w:cs="Times New Roman"/>
          <w:szCs w:val="24"/>
        </w:rPr>
        <w:t xml:space="preserve"> </w:t>
      </w:r>
      <w:r w:rsidR="00C617ED" w:rsidRPr="00AF74AC">
        <w:rPr>
          <w:rFonts w:cs="Times New Roman"/>
          <w:i/>
          <w:iCs/>
          <w:szCs w:val="24"/>
        </w:rPr>
        <w:t>See</w:t>
      </w:r>
      <w:r w:rsidR="00C617ED">
        <w:rPr>
          <w:rFonts w:cs="Times New Roman"/>
          <w:szCs w:val="24"/>
        </w:rPr>
        <w:t xml:space="preserve"> </w:t>
      </w:r>
      <w:r w:rsidRPr="00243294">
        <w:rPr>
          <w:rFonts w:cs="Times New Roman"/>
          <w:i/>
          <w:iCs/>
          <w:szCs w:val="24"/>
        </w:rPr>
        <w:t>Pub. Serv. Co. of New Mexico</w:t>
      </w:r>
      <w:r w:rsidR="00C617ED" w:rsidRPr="00AF74AC">
        <w:rPr>
          <w:rFonts w:cs="Times New Roman"/>
          <w:szCs w:val="24"/>
        </w:rPr>
        <w:t>, 1976-NMCA-039, ¶ 10</w:t>
      </w:r>
      <w:r w:rsidR="00C617ED">
        <w:rPr>
          <w:rFonts w:cs="Times New Roman"/>
          <w:szCs w:val="24"/>
        </w:rPr>
        <w:t xml:space="preserve">; </w:t>
      </w:r>
      <w:r w:rsidR="00C617ED" w:rsidRPr="001E0075">
        <w:rPr>
          <w:rFonts w:cs="Times New Roman"/>
          <w:szCs w:val="24"/>
        </w:rPr>
        <w:t>§</w:t>
      </w:r>
      <w:r w:rsidR="00C617ED">
        <w:rPr>
          <w:rFonts w:cs="Times New Roman"/>
          <w:szCs w:val="24"/>
        </w:rPr>
        <w:t xml:space="preserve"> </w:t>
      </w:r>
      <w:r w:rsidR="00C617ED" w:rsidRPr="00AF74AC">
        <w:rPr>
          <w:rFonts w:cs="Times New Roman"/>
          <w:szCs w:val="24"/>
        </w:rPr>
        <w:t>74-2-9(C)</w:t>
      </w:r>
      <w:r w:rsidR="00C617ED">
        <w:rPr>
          <w:rFonts w:cs="Times New Roman"/>
          <w:szCs w:val="24"/>
        </w:rPr>
        <w:t xml:space="preserve">; </w:t>
      </w:r>
      <w:r w:rsidR="00C617ED" w:rsidRPr="00AF74AC">
        <w:rPr>
          <w:rFonts w:cs="Times New Roman"/>
          <w:i/>
          <w:iCs/>
          <w:szCs w:val="24"/>
        </w:rPr>
        <w:t>New Mexico Oil Conservation Comm'n</w:t>
      </w:r>
      <w:r w:rsidR="00C617ED" w:rsidRPr="00AF74AC">
        <w:rPr>
          <w:rFonts w:cs="Times New Roman"/>
          <w:szCs w:val="24"/>
        </w:rPr>
        <w:t>, 2016-NMCA-055, ¶ 25</w:t>
      </w:r>
      <w:r w:rsidR="00C617ED">
        <w:rPr>
          <w:rFonts w:cs="Times New Roman"/>
          <w:szCs w:val="24"/>
        </w:rPr>
        <w:t xml:space="preserve">. </w:t>
      </w:r>
    </w:p>
    <w:p w14:paraId="07D87C67" w14:textId="32FF49E7" w:rsidR="00C617ED" w:rsidRDefault="00C617ED" w:rsidP="00E2126A">
      <w:pPr>
        <w:spacing w:after="0" w:line="480" w:lineRule="auto"/>
        <w:ind w:firstLine="720"/>
        <w:contextualSpacing/>
        <w:jc w:val="both"/>
        <w:rPr>
          <w:rFonts w:cs="Times New Roman"/>
          <w:szCs w:val="24"/>
        </w:rPr>
      </w:pPr>
      <w:r>
        <w:rPr>
          <w:rFonts w:cs="Times New Roman"/>
          <w:szCs w:val="24"/>
        </w:rPr>
        <w:t>Section 74-2-5(</w:t>
      </w:r>
      <w:r w:rsidR="00AD697B">
        <w:rPr>
          <w:rFonts w:cs="Times New Roman"/>
          <w:szCs w:val="24"/>
        </w:rPr>
        <w:t>E</w:t>
      </w:r>
      <w:r>
        <w:rPr>
          <w:rFonts w:cs="Times New Roman"/>
          <w:szCs w:val="24"/>
        </w:rPr>
        <w:t>)</w:t>
      </w:r>
      <w:r w:rsidR="00AD697B">
        <w:rPr>
          <w:rFonts w:cs="Times New Roman"/>
          <w:szCs w:val="24"/>
        </w:rPr>
        <w:t xml:space="preserve">(3) </w:t>
      </w:r>
      <w:r>
        <w:rPr>
          <w:rFonts w:cs="Times New Roman"/>
          <w:szCs w:val="24"/>
        </w:rPr>
        <w:t xml:space="preserve">permits the Board “to give . . . weight it deems appropriate to all facts and circumstances, including . . . </w:t>
      </w:r>
      <w:r w:rsidRPr="00AB7847">
        <w:rPr>
          <w:rFonts w:cs="Times New Roman"/>
          <w:szCs w:val="24"/>
        </w:rPr>
        <w:t>technical practicability and economic reasonableness of reducing or eliminating air contaminants from the sources involved and previous experience with equipment and methods available to control the air contaminants involved</w:t>
      </w:r>
      <w:r>
        <w:rPr>
          <w:rFonts w:cs="Times New Roman"/>
          <w:szCs w:val="24"/>
        </w:rPr>
        <w:t xml:space="preserve">.” </w:t>
      </w:r>
      <w:r w:rsidR="006C72B4">
        <w:rPr>
          <w:rFonts w:cs="Times New Roman"/>
          <w:szCs w:val="24"/>
        </w:rPr>
        <w:t xml:space="preserve"> </w:t>
      </w:r>
      <w:r>
        <w:rPr>
          <w:rFonts w:cs="Times New Roman"/>
          <w:szCs w:val="24"/>
        </w:rPr>
        <w:t xml:space="preserve">The term “appropriate,” however, limits the Board’s consideration of facts and circumstances to the express language of the legislative mandate—to regulate NOx and VOC emissions for controlling ozone concentrations in areas that exceed 95% of the NAAQS.  </w:t>
      </w:r>
      <w:r w:rsidRPr="001E0075">
        <w:rPr>
          <w:rFonts w:cs="Times New Roman"/>
          <w:szCs w:val="24"/>
        </w:rPr>
        <w:t>§ 74-2-</w:t>
      </w:r>
      <w:r>
        <w:rPr>
          <w:rFonts w:cs="Times New Roman"/>
          <w:szCs w:val="24"/>
        </w:rPr>
        <w:t>5</w:t>
      </w:r>
      <w:r w:rsidRPr="001E0075">
        <w:rPr>
          <w:rFonts w:cs="Times New Roman"/>
          <w:szCs w:val="24"/>
        </w:rPr>
        <w:t>(C)</w:t>
      </w:r>
      <w:r>
        <w:rPr>
          <w:rFonts w:cs="Times New Roman"/>
          <w:szCs w:val="24"/>
        </w:rPr>
        <w:t xml:space="preserve">.  In </w:t>
      </w:r>
      <w:r w:rsidR="00F726D0">
        <w:rPr>
          <w:rFonts w:cs="Times New Roman"/>
          <w:szCs w:val="24"/>
        </w:rPr>
        <w:t>making the rules</w:t>
      </w:r>
      <w:r w:rsidR="00664AB2">
        <w:rPr>
          <w:rFonts w:cs="Times New Roman"/>
          <w:szCs w:val="24"/>
        </w:rPr>
        <w:t xml:space="preserve"> for oil and gas facilities</w:t>
      </w:r>
      <w:r w:rsidR="00F726D0">
        <w:rPr>
          <w:rFonts w:cs="Times New Roman"/>
          <w:szCs w:val="24"/>
        </w:rPr>
        <w:t xml:space="preserve">, the Board </w:t>
      </w:r>
      <w:r w:rsidR="00756C60">
        <w:rPr>
          <w:rFonts w:cs="Times New Roman"/>
          <w:szCs w:val="24"/>
        </w:rPr>
        <w:t xml:space="preserve">may not rely on methane reductions as its primary basis for the underlying regulations after it has chosen to regulate NOx and VOC as its control option. </w:t>
      </w:r>
    </w:p>
    <w:p w14:paraId="5B91E48A" w14:textId="4F399741" w:rsidR="00325206" w:rsidRPr="00F24B98" w:rsidRDefault="00D442B4" w:rsidP="00F24B98">
      <w:pPr>
        <w:pStyle w:val="Heading3"/>
      </w:pPr>
      <w:bookmarkStart w:id="12" w:name="_Toc93568146"/>
      <w:r w:rsidRPr="00F24B98">
        <w:t>C.</w:t>
      </w:r>
      <w:r w:rsidRPr="00F24B98">
        <w:tab/>
      </w:r>
      <w:r w:rsidR="00325206" w:rsidRPr="00F24B98">
        <w:t>The Notice of Rulemaking Hearing does not include a possible action of adopting rules and regulations that pertain to and are supported by methane regulations.</w:t>
      </w:r>
      <w:bookmarkEnd w:id="12"/>
    </w:p>
    <w:p w14:paraId="002D353B" w14:textId="4D20EC45" w:rsidR="00325206" w:rsidRPr="00325206" w:rsidRDefault="00325206" w:rsidP="00E2126A">
      <w:pPr>
        <w:spacing w:after="0"/>
      </w:pPr>
    </w:p>
    <w:p w14:paraId="732E320A" w14:textId="6892A641" w:rsidR="00E54EBF" w:rsidRDefault="004F77F6" w:rsidP="00C617ED">
      <w:pPr>
        <w:spacing w:line="480" w:lineRule="auto"/>
        <w:ind w:firstLine="720"/>
        <w:contextualSpacing/>
        <w:jc w:val="both"/>
      </w:pPr>
      <w:r>
        <w:rPr>
          <w:rFonts w:cs="Times New Roman"/>
          <w:szCs w:val="24"/>
        </w:rPr>
        <w:t>Lastly, the Board’s Notice of Rulemaking Hearing to Consider Adoption of Proposed 20.2.50 NMAC, EIB 21-27</w:t>
      </w:r>
      <w:r w:rsidR="00636EAC">
        <w:rPr>
          <w:rFonts w:cs="Times New Roman"/>
          <w:szCs w:val="24"/>
        </w:rPr>
        <w:t>(R)</w:t>
      </w:r>
      <w:r w:rsidR="002A7745">
        <w:rPr>
          <w:rFonts w:cs="Times New Roman"/>
          <w:szCs w:val="24"/>
        </w:rPr>
        <w:t xml:space="preserve"> (the “Notice”)</w:t>
      </w:r>
      <w:r>
        <w:rPr>
          <w:rFonts w:cs="Times New Roman"/>
          <w:szCs w:val="24"/>
        </w:rPr>
        <w:t xml:space="preserve">, </w:t>
      </w:r>
      <w:r w:rsidR="00664AB2">
        <w:rPr>
          <w:rFonts w:cs="Times New Roman"/>
          <w:szCs w:val="24"/>
        </w:rPr>
        <w:t xml:space="preserve">is limited to </w:t>
      </w:r>
      <w:r w:rsidR="00636EAC">
        <w:rPr>
          <w:rFonts w:cs="Times New Roman"/>
          <w:szCs w:val="24"/>
        </w:rPr>
        <w:t xml:space="preserve">NOx and VOCs and </w:t>
      </w:r>
      <w:r w:rsidR="00EE3199">
        <w:rPr>
          <w:rFonts w:cs="Times New Roman"/>
          <w:szCs w:val="24"/>
        </w:rPr>
        <w:t>does not apprise</w:t>
      </w:r>
      <w:r>
        <w:rPr>
          <w:rFonts w:cs="Times New Roman"/>
          <w:szCs w:val="24"/>
        </w:rPr>
        <w:t xml:space="preserve"> the public </w:t>
      </w:r>
      <w:r w:rsidR="00EE3199">
        <w:rPr>
          <w:rFonts w:cs="Times New Roman"/>
          <w:szCs w:val="24"/>
        </w:rPr>
        <w:t xml:space="preserve">or the regulated entities </w:t>
      </w:r>
      <w:r>
        <w:rPr>
          <w:rFonts w:cs="Times New Roman"/>
          <w:szCs w:val="24"/>
        </w:rPr>
        <w:t xml:space="preserve">about the Board’s possible action of adopting rules and regulations </w:t>
      </w:r>
      <w:r w:rsidR="002A7745">
        <w:rPr>
          <w:rFonts w:cs="Times New Roman"/>
          <w:szCs w:val="24"/>
        </w:rPr>
        <w:t xml:space="preserve">that pertain to and are supported by methane reductions.  </w:t>
      </w:r>
      <w:r w:rsidR="00E54EBF">
        <w:t>The U.S. Supreme Court has held that “[t]</w:t>
      </w:r>
      <w:r w:rsidR="00E54EBF" w:rsidRPr="00E54EBF">
        <w:t>hose who are brought into contest with the Government in a quasi-judicial proceeding aimed at the control of their activities are entitled to be fairly advised of what the Government proposes and to be heard upon its proposals before it issues its final command.</w:t>
      </w:r>
      <w:r w:rsidR="00E54EBF">
        <w:t xml:space="preserve">”  </w:t>
      </w:r>
      <w:r w:rsidR="00E54EBF" w:rsidRPr="00E54EBF">
        <w:rPr>
          <w:i/>
          <w:iCs/>
        </w:rPr>
        <w:t>United States v. Florida E. Coast Ry. Co</w:t>
      </w:r>
      <w:r w:rsidR="00E54EBF" w:rsidRPr="00E54EBF">
        <w:t>., 410 U.S. 224, 243</w:t>
      </w:r>
      <w:r w:rsidR="00E54EBF">
        <w:t xml:space="preserve"> </w:t>
      </w:r>
      <w:r w:rsidR="00E54EBF" w:rsidRPr="00E54EBF">
        <w:t xml:space="preserve">(1973). </w:t>
      </w:r>
    </w:p>
    <w:p w14:paraId="150D8F39" w14:textId="50AD33DE" w:rsidR="00CD0C5B" w:rsidRDefault="002A7745" w:rsidP="00CF4BB2">
      <w:pPr>
        <w:spacing w:after="0" w:line="480" w:lineRule="auto"/>
        <w:ind w:firstLine="720"/>
        <w:contextualSpacing/>
        <w:jc w:val="both"/>
        <w:rPr>
          <w:rFonts w:cs="Times New Roman"/>
          <w:szCs w:val="24"/>
        </w:rPr>
      </w:pPr>
      <w:r>
        <w:rPr>
          <w:rFonts w:cs="Times New Roman"/>
          <w:szCs w:val="24"/>
        </w:rPr>
        <w:lastRenderedPageBreak/>
        <w:t xml:space="preserve">The notice of a proposed </w:t>
      </w:r>
      <w:r w:rsidR="00E54EBF">
        <w:rPr>
          <w:rFonts w:cs="Times New Roman"/>
          <w:szCs w:val="24"/>
        </w:rPr>
        <w:t xml:space="preserve">EIB </w:t>
      </w:r>
      <w:r>
        <w:rPr>
          <w:rFonts w:cs="Times New Roman"/>
          <w:szCs w:val="24"/>
        </w:rPr>
        <w:t>rulemaking must include, among other requirements</w:t>
      </w:r>
      <w:r w:rsidR="00CD0C5B">
        <w:rPr>
          <w:rFonts w:cs="Times New Roman"/>
          <w:szCs w:val="24"/>
        </w:rPr>
        <w:t>:</w:t>
      </w:r>
    </w:p>
    <w:p w14:paraId="211963E8" w14:textId="42F4EF1F" w:rsidR="002A7745" w:rsidRDefault="00CD0C5B" w:rsidP="00E2126A">
      <w:pPr>
        <w:spacing w:after="0" w:line="240" w:lineRule="auto"/>
        <w:ind w:left="720" w:right="720"/>
        <w:contextualSpacing/>
        <w:jc w:val="both"/>
        <w:rPr>
          <w:rFonts w:cs="Times New Roman"/>
          <w:szCs w:val="24"/>
        </w:rPr>
      </w:pPr>
      <w:r>
        <w:rPr>
          <w:rFonts w:cs="Times New Roman"/>
          <w:szCs w:val="24"/>
        </w:rPr>
        <w:t>(1) T</w:t>
      </w:r>
      <w:r w:rsidR="002A7745">
        <w:rPr>
          <w:rFonts w:cs="Times New Roman"/>
          <w:szCs w:val="24"/>
        </w:rPr>
        <w:t xml:space="preserve">he subject </w:t>
      </w:r>
      <w:r w:rsidRPr="00CD0C5B">
        <w:rPr>
          <w:rFonts w:cs="Times New Roman"/>
          <w:szCs w:val="24"/>
        </w:rPr>
        <w:t>of the proposed rule, including a summary of the full text of the proposed rule and a short explanation of the purpose of the proposed rule</w:t>
      </w:r>
      <w:r>
        <w:rPr>
          <w:rFonts w:cs="Times New Roman"/>
          <w:szCs w:val="24"/>
        </w:rPr>
        <w:t xml:space="preserve">; (2) a citation to the specific legal authority authorizing the proposed rule and short explanation of the proposed rule[.]” </w:t>
      </w:r>
    </w:p>
    <w:p w14:paraId="56FB850E" w14:textId="77777777" w:rsidR="00E2126A" w:rsidRDefault="00E2126A" w:rsidP="00E2126A">
      <w:pPr>
        <w:spacing w:after="0" w:line="240" w:lineRule="auto"/>
        <w:contextualSpacing/>
        <w:jc w:val="both"/>
      </w:pPr>
    </w:p>
    <w:p w14:paraId="787FD996" w14:textId="09B745C0" w:rsidR="005E43A1" w:rsidRDefault="00E54EBF" w:rsidP="00E2126A">
      <w:pPr>
        <w:spacing w:after="0" w:line="480" w:lineRule="auto"/>
        <w:contextualSpacing/>
        <w:jc w:val="both"/>
        <w:rPr>
          <w:rFonts w:cs="Times New Roman"/>
          <w:szCs w:val="24"/>
        </w:rPr>
      </w:pPr>
      <w:r>
        <w:t>20.1.1.301(B)(1)-(2) NMAC.</w:t>
      </w:r>
      <w:r w:rsidR="0083032B">
        <w:rPr>
          <w:rStyle w:val="FootnoteReference"/>
        </w:rPr>
        <w:footnoteReference w:id="4"/>
      </w:r>
      <w:r>
        <w:t xml:space="preserve">  </w:t>
      </w:r>
      <w:r w:rsidR="005E2A0F">
        <w:rPr>
          <w:rFonts w:cs="Times New Roman"/>
          <w:szCs w:val="24"/>
        </w:rPr>
        <w:t>Administrative due process</w:t>
      </w:r>
      <w:r w:rsidR="00927F99">
        <w:rPr>
          <w:rFonts w:cs="Times New Roman"/>
          <w:szCs w:val="24"/>
        </w:rPr>
        <w:t xml:space="preserve"> in New Mexico</w:t>
      </w:r>
      <w:r w:rsidR="005E2A0F">
        <w:rPr>
          <w:rFonts w:cs="Times New Roman"/>
          <w:szCs w:val="24"/>
        </w:rPr>
        <w:t xml:space="preserve"> requires “</w:t>
      </w:r>
      <w:r w:rsidR="005E2A0F" w:rsidRPr="005E2A0F">
        <w:rPr>
          <w:rFonts w:cs="Times New Roman"/>
          <w:szCs w:val="24"/>
        </w:rPr>
        <w:t>fairness, ensuring that the public is notified about a proposed government action and afforded the opportunity to make its voice heard before that action takes effect.</w:t>
      </w:r>
      <w:r w:rsidR="005E2A0F">
        <w:rPr>
          <w:rFonts w:cs="Times New Roman"/>
          <w:szCs w:val="24"/>
        </w:rPr>
        <w:t xml:space="preserve">”  </w:t>
      </w:r>
      <w:proofErr w:type="spellStart"/>
      <w:r w:rsidR="005E2A0F" w:rsidRPr="005E2A0F">
        <w:rPr>
          <w:rFonts w:cs="Times New Roman"/>
          <w:i/>
          <w:iCs/>
          <w:szCs w:val="24"/>
        </w:rPr>
        <w:t>Rayellen</w:t>
      </w:r>
      <w:proofErr w:type="spellEnd"/>
      <w:r w:rsidR="005E2A0F" w:rsidRPr="005E2A0F">
        <w:rPr>
          <w:rFonts w:cs="Times New Roman"/>
          <w:i/>
          <w:iCs/>
          <w:szCs w:val="24"/>
        </w:rPr>
        <w:t xml:space="preserve"> Res., Inc. v. New Mexico Cultural Properties Review Comm</w:t>
      </w:r>
      <w:r w:rsidR="005E2A0F" w:rsidRPr="005E2A0F">
        <w:rPr>
          <w:rFonts w:cs="Times New Roman"/>
          <w:szCs w:val="24"/>
        </w:rPr>
        <w:t>., 2014-NMSC-006, ¶ 28</w:t>
      </w:r>
      <w:r w:rsidR="005E2A0F">
        <w:rPr>
          <w:rFonts w:cs="Times New Roman"/>
          <w:szCs w:val="24"/>
        </w:rPr>
        <w:t xml:space="preserve">; </w:t>
      </w:r>
      <w:proofErr w:type="spellStart"/>
      <w:r w:rsidR="005E2A0F" w:rsidRPr="005E43A1">
        <w:rPr>
          <w:rFonts w:cs="Times New Roman"/>
          <w:i/>
          <w:iCs/>
          <w:szCs w:val="24"/>
        </w:rPr>
        <w:t>Uhden</w:t>
      </w:r>
      <w:proofErr w:type="spellEnd"/>
      <w:r w:rsidR="005E2A0F" w:rsidRPr="005E43A1">
        <w:rPr>
          <w:rFonts w:cs="Times New Roman"/>
          <w:i/>
          <w:iCs/>
          <w:szCs w:val="24"/>
        </w:rPr>
        <w:t xml:space="preserve"> v. New Mexico Oil Conservation Comm'n</w:t>
      </w:r>
      <w:r w:rsidR="005E2A0F" w:rsidRPr="005E2A0F">
        <w:rPr>
          <w:rFonts w:cs="Times New Roman"/>
          <w:szCs w:val="24"/>
        </w:rPr>
        <w:t>, 1991-NMSC-089, ¶ 10, 112 N.M. 528, 530, 817 P.2d 721, 723</w:t>
      </w:r>
      <w:r w:rsidR="005E2A0F">
        <w:rPr>
          <w:rFonts w:cs="Times New Roman"/>
          <w:szCs w:val="24"/>
        </w:rPr>
        <w:t xml:space="preserve"> (“</w:t>
      </w:r>
      <w:r w:rsidR="005E2A0F" w:rsidRPr="005E2A0F">
        <w:rPr>
          <w:rFonts w:cs="Times New Roman"/>
          <w:szCs w:val="24"/>
        </w:rPr>
        <w:t>Administrative proceedings must conform to fundamental principles of justice and the requirements of due process of law.</w:t>
      </w:r>
      <w:r w:rsidR="005E2A0F">
        <w:rPr>
          <w:rFonts w:cs="Times New Roman"/>
          <w:szCs w:val="24"/>
        </w:rPr>
        <w:t>”).</w:t>
      </w:r>
      <w:r w:rsidR="005E43A1">
        <w:rPr>
          <w:rFonts w:cs="Times New Roman"/>
          <w:szCs w:val="24"/>
        </w:rPr>
        <w:t xml:space="preserve">  </w:t>
      </w:r>
    </w:p>
    <w:p w14:paraId="0C54A63A" w14:textId="1FAC5DA4" w:rsidR="005E2A0F" w:rsidRDefault="004651A0" w:rsidP="00357B4E">
      <w:pPr>
        <w:spacing w:line="480" w:lineRule="auto"/>
        <w:ind w:firstLine="720"/>
        <w:contextualSpacing/>
        <w:jc w:val="both"/>
        <w:rPr>
          <w:rFonts w:cs="Times New Roman"/>
          <w:szCs w:val="24"/>
        </w:rPr>
      </w:pPr>
      <w:r>
        <w:t xml:space="preserve">Similarly, </w:t>
      </w:r>
      <w:r w:rsidR="00E845C6">
        <w:t xml:space="preserve">in a formal adjudication under </w:t>
      </w:r>
      <w:r w:rsidR="005E43A1">
        <w:rPr>
          <w:rFonts w:cs="Times New Roman"/>
          <w:szCs w:val="24"/>
        </w:rPr>
        <w:t xml:space="preserve">the federal APA, a federal agency must </w:t>
      </w:r>
      <w:r w:rsidR="00E845C6">
        <w:rPr>
          <w:rFonts w:cs="Times New Roman"/>
          <w:szCs w:val="24"/>
        </w:rPr>
        <w:t xml:space="preserve">inform the persons entitled to notice of an agency hearing regarding: “(1) </w:t>
      </w:r>
      <w:r w:rsidR="00E845C6" w:rsidRPr="00E845C6">
        <w:rPr>
          <w:rFonts w:cs="Times New Roman"/>
          <w:szCs w:val="24"/>
        </w:rPr>
        <w:t>the time, place, and nature of the hearing;</w:t>
      </w:r>
      <w:r w:rsidR="00E845C6">
        <w:rPr>
          <w:rFonts w:cs="Times New Roman"/>
          <w:szCs w:val="24"/>
        </w:rPr>
        <w:t xml:space="preserve"> </w:t>
      </w:r>
      <w:r w:rsidR="00E845C6" w:rsidRPr="00E845C6">
        <w:rPr>
          <w:rFonts w:cs="Times New Roman"/>
          <w:szCs w:val="24"/>
        </w:rPr>
        <w:t>(2) the legal authority and jurisdiction under which the hearing is to be held; and</w:t>
      </w:r>
      <w:r w:rsidR="00E845C6">
        <w:rPr>
          <w:rFonts w:cs="Times New Roman"/>
          <w:szCs w:val="24"/>
        </w:rPr>
        <w:t xml:space="preserve"> </w:t>
      </w:r>
      <w:r w:rsidR="00E845C6" w:rsidRPr="00E845C6">
        <w:rPr>
          <w:rFonts w:cs="Times New Roman"/>
          <w:szCs w:val="24"/>
        </w:rPr>
        <w:t>(3) the matters of fact and law asserted.</w:t>
      </w:r>
      <w:r w:rsidR="00E845C6">
        <w:rPr>
          <w:rFonts w:cs="Times New Roman"/>
          <w:szCs w:val="24"/>
        </w:rPr>
        <w:t xml:space="preserve">” </w:t>
      </w:r>
      <w:r w:rsidR="00E845C6" w:rsidRPr="00E845C6">
        <w:rPr>
          <w:rFonts w:cs="Times New Roman"/>
          <w:szCs w:val="24"/>
        </w:rPr>
        <w:t>5 U.S.C.A. § 554</w:t>
      </w:r>
      <w:r w:rsidR="00FB2613">
        <w:rPr>
          <w:rFonts w:cs="Times New Roman"/>
          <w:szCs w:val="24"/>
        </w:rPr>
        <w:t>(b)</w:t>
      </w:r>
      <w:r w:rsidR="00E845C6" w:rsidRPr="00E845C6">
        <w:rPr>
          <w:rFonts w:cs="Times New Roman"/>
          <w:szCs w:val="24"/>
        </w:rPr>
        <w:t xml:space="preserve"> (West)</w:t>
      </w:r>
      <w:r w:rsidR="00E845C6">
        <w:rPr>
          <w:rFonts w:cs="Times New Roman"/>
          <w:szCs w:val="24"/>
        </w:rPr>
        <w:t>.</w:t>
      </w:r>
      <w:r w:rsidR="00E306C8">
        <w:rPr>
          <w:rFonts w:cs="Times New Roman"/>
          <w:szCs w:val="24"/>
        </w:rPr>
        <w:t xml:space="preserve"> </w:t>
      </w:r>
      <w:r w:rsidR="00E845C6" w:rsidRPr="00E845C6">
        <w:rPr>
          <w:rFonts w:cs="Times New Roman"/>
          <w:szCs w:val="24"/>
        </w:rPr>
        <w:t xml:space="preserve"> </w:t>
      </w:r>
      <w:r w:rsidR="00357B4E">
        <w:rPr>
          <w:rFonts w:cs="Times New Roman"/>
          <w:szCs w:val="24"/>
        </w:rPr>
        <w:t xml:space="preserve">For </w:t>
      </w:r>
      <w:r w:rsidR="00634DED">
        <w:rPr>
          <w:rFonts w:cs="Times New Roman"/>
          <w:szCs w:val="24"/>
        </w:rPr>
        <w:t xml:space="preserve">an administrative agency to satisfy </w:t>
      </w:r>
      <w:r w:rsidR="00FB2613">
        <w:rPr>
          <w:rFonts w:cs="Times New Roman"/>
          <w:szCs w:val="24"/>
        </w:rPr>
        <w:t xml:space="preserve">federal </w:t>
      </w:r>
      <w:r w:rsidR="00634DED">
        <w:rPr>
          <w:rFonts w:cs="Times New Roman"/>
          <w:szCs w:val="24"/>
        </w:rPr>
        <w:t>due process</w:t>
      </w:r>
      <w:r w:rsidR="00FB2613">
        <w:rPr>
          <w:rFonts w:cs="Times New Roman"/>
          <w:szCs w:val="24"/>
        </w:rPr>
        <w:t xml:space="preserve"> in a formal adjudication</w:t>
      </w:r>
      <w:r w:rsidR="00634DED">
        <w:rPr>
          <w:rFonts w:cs="Times New Roman"/>
          <w:szCs w:val="24"/>
        </w:rPr>
        <w:t>,</w:t>
      </w:r>
      <w:r w:rsidR="00357B4E" w:rsidRPr="00357B4E">
        <w:rPr>
          <w:rFonts w:cs="Times New Roman"/>
          <w:szCs w:val="24"/>
        </w:rPr>
        <w:t xml:space="preserve"> </w:t>
      </w:r>
      <w:r w:rsidR="00634DED">
        <w:rPr>
          <w:rFonts w:cs="Times New Roman"/>
          <w:szCs w:val="24"/>
        </w:rPr>
        <w:t>“</w:t>
      </w:r>
      <w:r w:rsidR="00357B4E" w:rsidRPr="00357B4E">
        <w:rPr>
          <w:rFonts w:cs="Times New Roman"/>
          <w:szCs w:val="24"/>
        </w:rPr>
        <w:t>notice must be given that is reasonably calculated, under all the circumstances, to apprise interested parties of the pendency of the action and afford them an opportunity to present their objections.</w:t>
      </w:r>
      <w:r w:rsidR="00634DED">
        <w:rPr>
          <w:rFonts w:cs="Times New Roman"/>
          <w:szCs w:val="24"/>
        </w:rPr>
        <w:t>’”</w:t>
      </w:r>
      <w:r w:rsidR="00357B4E">
        <w:rPr>
          <w:rFonts w:cs="Times New Roman"/>
          <w:szCs w:val="24"/>
        </w:rPr>
        <w:t xml:space="preserve">  </w:t>
      </w:r>
      <w:r w:rsidR="00357B4E" w:rsidRPr="00636EAC">
        <w:rPr>
          <w:rFonts w:cs="Times New Roman"/>
          <w:i/>
          <w:iCs/>
          <w:szCs w:val="24"/>
        </w:rPr>
        <w:t>Spartan Mills v. Bank of Am. Illinois,</w:t>
      </w:r>
      <w:r w:rsidR="00357B4E" w:rsidRPr="00357B4E">
        <w:rPr>
          <w:rFonts w:cs="Times New Roman"/>
          <w:szCs w:val="24"/>
        </w:rPr>
        <w:t xml:space="preserve"> 112 F.3d 1251, 1257 (4th Cir. 1997)</w:t>
      </w:r>
      <w:r w:rsidR="00634DED">
        <w:rPr>
          <w:rFonts w:cs="Times New Roman"/>
          <w:szCs w:val="24"/>
        </w:rPr>
        <w:t xml:space="preserve"> (citing </w:t>
      </w:r>
      <w:r w:rsidR="00634DED" w:rsidRPr="00636EAC">
        <w:rPr>
          <w:rFonts w:cs="Times New Roman"/>
          <w:i/>
          <w:iCs/>
          <w:szCs w:val="24"/>
        </w:rPr>
        <w:t>Mullane v. Central Hanover Bank &amp; Trust Co.,</w:t>
      </w:r>
      <w:r w:rsidR="00634DED" w:rsidRPr="00634DED">
        <w:rPr>
          <w:rFonts w:cs="Times New Roman"/>
          <w:szCs w:val="24"/>
        </w:rPr>
        <w:t xml:space="preserve"> 339 U.S. 306, 314</w:t>
      </w:r>
      <w:r w:rsidR="00634DED">
        <w:rPr>
          <w:rFonts w:cs="Times New Roman"/>
          <w:szCs w:val="24"/>
        </w:rPr>
        <w:t xml:space="preserve"> (1950)).</w:t>
      </w:r>
      <w:r w:rsidR="00357B4E" w:rsidRPr="00357B4E" w:rsidDel="00E845C6">
        <w:rPr>
          <w:rFonts w:cs="Times New Roman"/>
          <w:szCs w:val="24"/>
        </w:rPr>
        <w:t xml:space="preserve"> </w:t>
      </w:r>
      <w:r w:rsidR="00FB2613">
        <w:rPr>
          <w:rFonts w:cs="Times New Roman"/>
          <w:szCs w:val="24"/>
        </w:rPr>
        <w:t xml:space="preserve"> </w:t>
      </w:r>
      <w:r w:rsidR="00634DED">
        <w:rPr>
          <w:rFonts w:cs="Times New Roman"/>
          <w:szCs w:val="24"/>
        </w:rPr>
        <w:t>The agency must also “</w:t>
      </w:r>
      <w:r w:rsidR="00E306C8" w:rsidRPr="00E306C8">
        <w:rPr>
          <w:rFonts w:cs="Times New Roman"/>
          <w:szCs w:val="24"/>
        </w:rPr>
        <w:t>give the party charged a clear statement of the theory on which the agency will proceed with the case.</w:t>
      </w:r>
      <w:r w:rsidR="00E306C8">
        <w:rPr>
          <w:rFonts w:cs="Times New Roman"/>
          <w:szCs w:val="24"/>
        </w:rPr>
        <w:t>”</w:t>
      </w:r>
      <w:r w:rsidR="00634DED">
        <w:rPr>
          <w:rFonts w:cs="Times New Roman"/>
          <w:szCs w:val="24"/>
        </w:rPr>
        <w:t xml:space="preserve">  </w:t>
      </w:r>
      <w:r w:rsidR="00E306C8" w:rsidRPr="00636EAC">
        <w:rPr>
          <w:rFonts w:cs="Times New Roman"/>
          <w:i/>
          <w:iCs/>
          <w:szCs w:val="24"/>
        </w:rPr>
        <w:t>Yellow Freight Sys., Inc. v. Martin,</w:t>
      </w:r>
      <w:r w:rsidR="00E306C8" w:rsidRPr="00E306C8">
        <w:rPr>
          <w:rFonts w:cs="Times New Roman"/>
          <w:szCs w:val="24"/>
        </w:rPr>
        <w:t xml:space="preserve"> 954 F.2d 353, 357 (6th Cir. 1992)</w:t>
      </w:r>
      <w:r w:rsidR="00357B4E">
        <w:rPr>
          <w:rFonts w:cs="Times New Roman"/>
          <w:szCs w:val="24"/>
        </w:rPr>
        <w:t xml:space="preserve">.  </w:t>
      </w:r>
    </w:p>
    <w:p w14:paraId="37CD1376" w14:textId="1C069A4B" w:rsidR="002A7745" w:rsidRDefault="00E7774E" w:rsidP="00E2126A">
      <w:pPr>
        <w:spacing w:after="0" w:line="480" w:lineRule="auto"/>
        <w:ind w:firstLine="720"/>
        <w:contextualSpacing/>
        <w:jc w:val="both"/>
        <w:rPr>
          <w:rFonts w:cs="Times New Roman"/>
          <w:szCs w:val="24"/>
        </w:rPr>
      </w:pPr>
      <w:r>
        <w:rPr>
          <w:rFonts w:cs="Times New Roman"/>
          <w:szCs w:val="24"/>
        </w:rPr>
        <w:lastRenderedPageBreak/>
        <w:t>T</w:t>
      </w:r>
      <w:r w:rsidR="0085563A">
        <w:rPr>
          <w:rFonts w:cs="Times New Roman"/>
          <w:szCs w:val="24"/>
        </w:rPr>
        <w:t xml:space="preserve">he Notice </w:t>
      </w:r>
      <w:r>
        <w:rPr>
          <w:rFonts w:cs="Times New Roman"/>
          <w:szCs w:val="24"/>
        </w:rPr>
        <w:t xml:space="preserve">does not apprise </w:t>
      </w:r>
      <w:r w:rsidR="0085563A">
        <w:rPr>
          <w:rFonts w:cs="Times New Roman"/>
          <w:szCs w:val="24"/>
        </w:rPr>
        <w:t xml:space="preserve">the public </w:t>
      </w:r>
      <w:r w:rsidR="00E2699C">
        <w:rPr>
          <w:rFonts w:cs="Times New Roman"/>
          <w:szCs w:val="24"/>
        </w:rPr>
        <w:t>that</w:t>
      </w:r>
      <w:r w:rsidR="001738F1">
        <w:rPr>
          <w:rFonts w:cs="Times New Roman"/>
          <w:szCs w:val="24"/>
        </w:rPr>
        <w:t xml:space="preserve"> the Board </w:t>
      </w:r>
      <w:r w:rsidR="00E2699C">
        <w:rPr>
          <w:rFonts w:cs="Times New Roman"/>
          <w:szCs w:val="24"/>
        </w:rPr>
        <w:t>intended</w:t>
      </w:r>
      <w:r w:rsidR="001738F1">
        <w:rPr>
          <w:rFonts w:cs="Times New Roman"/>
          <w:szCs w:val="24"/>
        </w:rPr>
        <w:t xml:space="preserve"> to </w:t>
      </w:r>
      <w:r w:rsidR="00E2699C">
        <w:rPr>
          <w:rFonts w:cs="Times New Roman"/>
          <w:szCs w:val="24"/>
        </w:rPr>
        <w:t xml:space="preserve">regulate </w:t>
      </w:r>
      <w:r w:rsidR="001738F1">
        <w:rPr>
          <w:rFonts w:cs="Times New Roman"/>
          <w:szCs w:val="24"/>
        </w:rPr>
        <w:t>methane</w:t>
      </w:r>
      <w:r w:rsidR="00E2699C">
        <w:rPr>
          <w:rFonts w:cs="Times New Roman"/>
          <w:szCs w:val="24"/>
        </w:rPr>
        <w:t xml:space="preserve"> emissions</w:t>
      </w:r>
      <w:r w:rsidR="001738F1">
        <w:rPr>
          <w:rFonts w:cs="Times New Roman"/>
          <w:szCs w:val="24"/>
        </w:rPr>
        <w:t>.</w:t>
      </w:r>
      <w:r w:rsidR="0085563A">
        <w:rPr>
          <w:rFonts w:cs="Times New Roman"/>
          <w:szCs w:val="24"/>
        </w:rPr>
        <w:t xml:space="preserve"> </w:t>
      </w:r>
      <w:r w:rsidR="00A53057">
        <w:rPr>
          <w:rFonts w:cs="Times New Roman"/>
          <w:szCs w:val="24"/>
        </w:rPr>
        <w:t xml:space="preserve"> </w:t>
      </w:r>
      <w:r w:rsidR="004651A0" w:rsidRPr="004651A0">
        <w:rPr>
          <w:rFonts w:cs="Times New Roman"/>
          <w:i/>
          <w:iCs/>
          <w:szCs w:val="24"/>
        </w:rPr>
        <w:t xml:space="preserve">See </w:t>
      </w:r>
      <w:r w:rsidR="001738F1">
        <w:t xml:space="preserve">20.1.1.301(B)(1) NMAC; </w:t>
      </w:r>
      <w:r w:rsidR="001738F1" w:rsidRPr="001738F1">
        <w:rPr>
          <w:i/>
          <w:iCs/>
        </w:rPr>
        <w:t>Florida E. Coast Ry. Co</w:t>
      </w:r>
      <w:r w:rsidR="001738F1" w:rsidRPr="001738F1">
        <w:t>., 410 U.S.</w:t>
      </w:r>
      <w:r w:rsidR="008069AF">
        <w:t xml:space="preserve"> </w:t>
      </w:r>
      <w:r w:rsidR="001738F1">
        <w:t xml:space="preserve">at </w:t>
      </w:r>
      <w:r w:rsidR="001738F1" w:rsidRPr="001738F1">
        <w:t>243</w:t>
      </w:r>
      <w:r w:rsidR="001738F1">
        <w:t xml:space="preserve">; </w:t>
      </w:r>
      <w:proofErr w:type="spellStart"/>
      <w:r w:rsidR="001738F1" w:rsidRPr="001738F1">
        <w:rPr>
          <w:i/>
          <w:iCs/>
        </w:rPr>
        <w:t>Rayellen</w:t>
      </w:r>
      <w:proofErr w:type="spellEnd"/>
      <w:r w:rsidR="001738F1" w:rsidRPr="001738F1">
        <w:rPr>
          <w:i/>
          <w:iCs/>
        </w:rPr>
        <w:t xml:space="preserve"> Res., Inc</w:t>
      </w:r>
      <w:r w:rsidR="001738F1" w:rsidRPr="001738F1">
        <w:t>.</w:t>
      </w:r>
      <w:r w:rsidR="001738F1">
        <w:t xml:space="preserve">, </w:t>
      </w:r>
      <w:r w:rsidR="001738F1" w:rsidRPr="001738F1">
        <w:t>2014-NMSC-006, ¶ 28</w:t>
      </w:r>
      <w:r w:rsidR="001738F1">
        <w:t xml:space="preserve">.  </w:t>
      </w:r>
      <w:r w:rsidR="001738F1">
        <w:rPr>
          <w:rFonts w:cs="Times New Roman"/>
          <w:szCs w:val="24"/>
        </w:rPr>
        <w:t xml:space="preserve">The </w:t>
      </w:r>
      <w:r w:rsidR="002A7745">
        <w:rPr>
          <w:rFonts w:cs="Times New Roman"/>
          <w:szCs w:val="24"/>
        </w:rPr>
        <w:t xml:space="preserve">Notice </w:t>
      </w:r>
      <w:r w:rsidR="001738F1">
        <w:rPr>
          <w:rFonts w:cs="Times New Roman"/>
          <w:szCs w:val="24"/>
        </w:rPr>
        <w:t xml:space="preserve">simply </w:t>
      </w:r>
      <w:r w:rsidR="002A7745">
        <w:rPr>
          <w:rFonts w:cs="Times New Roman"/>
          <w:szCs w:val="24"/>
        </w:rPr>
        <w:t>states:</w:t>
      </w:r>
      <w:r w:rsidR="002A7745" w:rsidRPr="002A7745">
        <w:t xml:space="preserve"> </w:t>
      </w:r>
      <w:r w:rsidR="002A7745">
        <w:t>“</w:t>
      </w:r>
      <w:r w:rsidR="002A7745" w:rsidRPr="002A7745">
        <w:rPr>
          <w:rFonts w:cs="Times New Roman"/>
          <w:szCs w:val="24"/>
        </w:rPr>
        <w:t>The proposed regulations at Part 50 would reduce emissions of ozone precursor pollutants (oxides of nitrogen and volatile organic compounds) from sources in the oil and gas sector located in areas of the State within the Board’s jurisdiction that are experiencing elevated ozone levels.</w:t>
      </w:r>
      <w:r w:rsidR="002A7745">
        <w:rPr>
          <w:rFonts w:cs="Times New Roman"/>
          <w:szCs w:val="24"/>
        </w:rPr>
        <w:t xml:space="preserve">” </w:t>
      </w:r>
      <w:r w:rsidR="00A53057">
        <w:rPr>
          <w:rFonts w:cs="Times New Roman"/>
          <w:szCs w:val="24"/>
        </w:rPr>
        <w:t xml:space="preserve"> </w:t>
      </w:r>
      <w:r w:rsidR="002A7745">
        <w:rPr>
          <w:rFonts w:cs="Times New Roman"/>
          <w:szCs w:val="24"/>
        </w:rPr>
        <w:t>Notice at</w:t>
      </w:r>
      <w:r w:rsidR="00D648AB">
        <w:rPr>
          <w:rFonts w:cs="Times New Roman"/>
          <w:szCs w:val="24"/>
        </w:rPr>
        <w:t xml:space="preserve"> </w:t>
      </w:r>
      <w:r w:rsidR="002A7745">
        <w:rPr>
          <w:rFonts w:cs="Times New Roman"/>
          <w:szCs w:val="24"/>
        </w:rPr>
        <w:t xml:space="preserve">1. </w:t>
      </w:r>
      <w:r w:rsidR="00D648AB">
        <w:rPr>
          <w:rFonts w:cs="Times New Roman"/>
          <w:szCs w:val="24"/>
        </w:rPr>
        <w:t xml:space="preserve"> </w:t>
      </w:r>
      <w:r w:rsidR="001738F1">
        <w:rPr>
          <w:rFonts w:cs="Times New Roman"/>
          <w:szCs w:val="24"/>
        </w:rPr>
        <w:t xml:space="preserve">It is silent on </w:t>
      </w:r>
      <w:r w:rsidR="0083032B">
        <w:rPr>
          <w:rFonts w:cs="Times New Roman"/>
          <w:szCs w:val="24"/>
        </w:rPr>
        <w:t xml:space="preserve">how Part 50 will </w:t>
      </w:r>
      <w:r w:rsidR="00E2699C">
        <w:rPr>
          <w:rFonts w:cs="Times New Roman"/>
          <w:szCs w:val="24"/>
        </w:rPr>
        <w:t xml:space="preserve">regulate </w:t>
      </w:r>
      <w:r w:rsidR="0083032B">
        <w:rPr>
          <w:rFonts w:cs="Times New Roman"/>
          <w:szCs w:val="24"/>
        </w:rPr>
        <w:t>methane emissions</w:t>
      </w:r>
      <w:r w:rsidR="00634DED">
        <w:rPr>
          <w:rFonts w:cs="Times New Roman"/>
          <w:szCs w:val="24"/>
        </w:rPr>
        <w:t xml:space="preserve"> and does not provide a “clear statement on the theory</w:t>
      </w:r>
      <w:r w:rsidR="00FB2613">
        <w:rPr>
          <w:rFonts w:cs="Times New Roman"/>
          <w:szCs w:val="24"/>
        </w:rPr>
        <w:t xml:space="preserve"> on which the agency will proceed with its case</w:t>
      </w:r>
      <w:r w:rsidR="0083032B">
        <w:rPr>
          <w:rFonts w:cs="Times New Roman"/>
          <w:szCs w:val="24"/>
        </w:rPr>
        <w:t>.</w:t>
      </w:r>
      <w:r w:rsidR="00FB2613">
        <w:rPr>
          <w:rFonts w:cs="Times New Roman"/>
          <w:szCs w:val="24"/>
        </w:rPr>
        <w:t>”</w:t>
      </w:r>
      <w:r w:rsidR="00F624F0">
        <w:rPr>
          <w:rFonts w:cs="Times New Roman"/>
          <w:szCs w:val="24"/>
        </w:rPr>
        <w:t xml:space="preserve">  </w:t>
      </w:r>
      <w:r w:rsidR="00FB2613" w:rsidRPr="00636EAC">
        <w:rPr>
          <w:rFonts w:cs="Times New Roman"/>
          <w:i/>
          <w:iCs/>
          <w:szCs w:val="24"/>
        </w:rPr>
        <w:t>See</w:t>
      </w:r>
      <w:r w:rsidR="00FB2613">
        <w:rPr>
          <w:rFonts w:cs="Times New Roman"/>
          <w:szCs w:val="24"/>
        </w:rPr>
        <w:t xml:space="preserve"> </w:t>
      </w:r>
      <w:r w:rsidR="00FB2613" w:rsidRPr="00E5142B">
        <w:rPr>
          <w:rFonts w:cs="Times New Roman"/>
          <w:i/>
          <w:iCs/>
          <w:szCs w:val="24"/>
        </w:rPr>
        <w:t>Yellow Freight Sys., Inc. v. Martin,</w:t>
      </w:r>
      <w:r w:rsidR="00FB2613" w:rsidRPr="00E306C8">
        <w:rPr>
          <w:rFonts w:cs="Times New Roman"/>
          <w:szCs w:val="24"/>
        </w:rPr>
        <w:t xml:space="preserve"> 954 F.2d </w:t>
      </w:r>
      <w:r w:rsidR="00FB2613">
        <w:rPr>
          <w:rFonts w:cs="Times New Roman"/>
          <w:szCs w:val="24"/>
        </w:rPr>
        <w:t xml:space="preserve">at </w:t>
      </w:r>
      <w:r w:rsidR="00FB2613" w:rsidRPr="00E306C8">
        <w:rPr>
          <w:rFonts w:cs="Times New Roman"/>
          <w:szCs w:val="24"/>
        </w:rPr>
        <w:t>357</w:t>
      </w:r>
      <w:r w:rsidR="00FB2613">
        <w:rPr>
          <w:rFonts w:cs="Times New Roman"/>
          <w:szCs w:val="24"/>
        </w:rPr>
        <w:t>.</w:t>
      </w:r>
      <w:r w:rsidR="008E57F7">
        <w:rPr>
          <w:rFonts w:cs="Times New Roman"/>
          <w:szCs w:val="24"/>
        </w:rPr>
        <w:t xml:space="preserve">  The Notice failed to disclose that “the nature of the hearing” would involve methane reductions.  </w:t>
      </w:r>
      <w:r w:rsidR="008E57F7" w:rsidRPr="00636EAC">
        <w:rPr>
          <w:rFonts w:cs="Times New Roman"/>
          <w:i/>
          <w:iCs/>
          <w:szCs w:val="24"/>
        </w:rPr>
        <w:t xml:space="preserve">See </w:t>
      </w:r>
      <w:r w:rsidR="008E57F7" w:rsidRPr="008E57F7">
        <w:rPr>
          <w:rFonts w:cs="Times New Roman"/>
          <w:szCs w:val="24"/>
        </w:rPr>
        <w:t xml:space="preserve">U.S.C.A. § 554(b) (West).  </w:t>
      </w:r>
      <w:r w:rsidR="00F624F0">
        <w:rPr>
          <w:rFonts w:cs="Times New Roman"/>
          <w:szCs w:val="24"/>
        </w:rPr>
        <w:t xml:space="preserve">Because it </w:t>
      </w:r>
      <w:r w:rsidR="00E2699C">
        <w:rPr>
          <w:rFonts w:cs="Times New Roman"/>
          <w:szCs w:val="24"/>
        </w:rPr>
        <w:t>does not identify regulation of methan</w:t>
      </w:r>
      <w:r w:rsidR="00C40C1B">
        <w:rPr>
          <w:rFonts w:cs="Times New Roman"/>
          <w:szCs w:val="24"/>
        </w:rPr>
        <w:t>e</w:t>
      </w:r>
      <w:r w:rsidR="00E2699C">
        <w:rPr>
          <w:rFonts w:cs="Times New Roman"/>
          <w:szCs w:val="24"/>
        </w:rPr>
        <w:t xml:space="preserve"> emissions</w:t>
      </w:r>
      <w:r w:rsidR="00636EAC">
        <w:rPr>
          <w:rFonts w:cs="Times New Roman"/>
          <w:szCs w:val="24"/>
        </w:rPr>
        <w:t xml:space="preserve"> as </w:t>
      </w:r>
      <w:r w:rsidR="001175DB">
        <w:rPr>
          <w:rFonts w:cs="Times New Roman"/>
          <w:szCs w:val="24"/>
        </w:rPr>
        <w:t>the subject of the rulemaking</w:t>
      </w:r>
      <w:r w:rsidR="00F624F0">
        <w:rPr>
          <w:rFonts w:cs="Times New Roman"/>
          <w:szCs w:val="24"/>
        </w:rPr>
        <w:t xml:space="preserve">, it effectively precludes the public </w:t>
      </w:r>
      <w:r>
        <w:rPr>
          <w:rFonts w:cs="Times New Roman"/>
          <w:szCs w:val="24"/>
        </w:rPr>
        <w:t xml:space="preserve">or regulated entities </w:t>
      </w:r>
      <w:r w:rsidR="00F624F0">
        <w:rPr>
          <w:rFonts w:cs="Times New Roman"/>
          <w:szCs w:val="24"/>
        </w:rPr>
        <w:t>from meaningful</w:t>
      </w:r>
      <w:r w:rsidR="00286484">
        <w:rPr>
          <w:rFonts w:cs="Times New Roman"/>
          <w:szCs w:val="24"/>
        </w:rPr>
        <w:t xml:space="preserve"> participation</w:t>
      </w:r>
      <w:r w:rsidR="00927F99">
        <w:rPr>
          <w:rFonts w:cs="Times New Roman"/>
          <w:szCs w:val="24"/>
        </w:rPr>
        <w:t xml:space="preserve"> related to methane emissions</w:t>
      </w:r>
      <w:r w:rsidR="00F624F0">
        <w:rPr>
          <w:rFonts w:cs="Times New Roman"/>
          <w:szCs w:val="24"/>
        </w:rPr>
        <w:t>.</w:t>
      </w:r>
      <w:r w:rsidR="00286484">
        <w:rPr>
          <w:rFonts w:cs="Times New Roman"/>
          <w:szCs w:val="24"/>
        </w:rPr>
        <w:t xml:space="preserve">  </w:t>
      </w:r>
      <w:r w:rsidR="00F624F0">
        <w:rPr>
          <w:rFonts w:cs="Times New Roman"/>
          <w:szCs w:val="24"/>
        </w:rPr>
        <w:t xml:space="preserve">For this reason, any Board action </w:t>
      </w:r>
      <w:r w:rsidR="00E2699C">
        <w:rPr>
          <w:rFonts w:cs="Times New Roman"/>
          <w:szCs w:val="24"/>
        </w:rPr>
        <w:t>regulating</w:t>
      </w:r>
      <w:r w:rsidR="00286484">
        <w:rPr>
          <w:rFonts w:cs="Times New Roman"/>
          <w:szCs w:val="24"/>
        </w:rPr>
        <w:t xml:space="preserve"> methane</w:t>
      </w:r>
      <w:r w:rsidR="00927F99">
        <w:rPr>
          <w:rFonts w:cs="Times New Roman"/>
          <w:szCs w:val="24"/>
        </w:rPr>
        <w:t xml:space="preserve"> emissions</w:t>
      </w:r>
      <w:r w:rsidR="00286484">
        <w:rPr>
          <w:rFonts w:cs="Times New Roman"/>
          <w:szCs w:val="24"/>
        </w:rPr>
        <w:t xml:space="preserve">, or justified by regulating methane, deviates from the legislative purpose of Section 74-2-5(C) and is </w:t>
      </w:r>
      <w:r w:rsidR="00A2364F">
        <w:rPr>
          <w:rFonts w:cs="Times New Roman"/>
          <w:szCs w:val="24"/>
        </w:rPr>
        <w:t xml:space="preserve">thereby </w:t>
      </w:r>
      <w:r w:rsidR="001175DB">
        <w:rPr>
          <w:rFonts w:cs="Times New Roman"/>
          <w:szCs w:val="24"/>
        </w:rPr>
        <w:t>not in accordance with law</w:t>
      </w:r>
      <w:r w:rsidR="00286484">
        <w:rPr>
          <w:rFonts w:cs="Times New Roman"/>
          <w:szCs w:val="24"/>
        </w:rPr>
        <w:t xml:space="preserve">. </w:t>
      </w:r>
      <w:r w:rsidR="00286484" w:rsidRPr="00927F99">
        <w:rPr>
          <w:rFonts w:cs="Times New Roman"/>
          <w:i/>
          <w:iCs/>
          <w:szCs w:val="24"/>
        </w:rPr>
        <w:t>See</w:t>
      </w:r>
      <w:r w:rsidR="00286484">
        <w:rPr>
          <w:rFonts w:cs="Times New Roman"/>
          <w:szCs w:val="24"/>
        </w:rPr>
        <w:t xml:space="preserve"> Section 74-2-9(C); </w:t>
      </w:r>
      <w:r w:rsidR="00286484" w:rsidRPr="009456BB">
        <w:rPr>
          <w:rFonts w:cs="Times New Roman"/>
          <w:i/>
          <w:iCs/>
          <w:szCs w:val="24"/>
        </w:rPr>
        <w:t>Old Abe Co.</w:t>
      </w:r>
      <w:r w:rsidR="00286484" w:rsidRPr="009456BB">
        <w:rPr>
          <w:rFonts w:cs="Times New Roman"/>
          <w:szCs w:val="24"/>
        </w:rPr>
        <w:t>, 1995–NMCA–134, ¶ 10.</w:t>
      </w:r>
      <w:r w:rsidR="00286484">
        <w:rPr>
          <w:rFonts w:cs="Times New Roman"/>
          <w:szCs w:val="24"/>
        </w:rPr>
        <w:t xml:space="preserve"> </w:t>
      </w:r>
    </w:p>
    <w:p w14:paraId="6ECCD291" w14:textId="395DE2DD" w:rsidR="00924A2D" w:rsidRDefault="00C617ED" w:rsidP="000F6357">
      <w:pPr>
        <w:pStyle w:val="Heading2"/>
      </w:pPr>
      <w:bookmarkStart w:id="13" w:name="_Toc93568147"/>
      <w:r w:rsidRPr="000F6357">
        <w:t>T</w:t>
      </w:r>
      <w:r w:rsidR="008D154A" w:rsidRPr="000F6357">
        <w:t>he Board may only promulgate rules or regulations that are no more stringent than necessary to maintain the statutory standard.</w:t>
      </w:r>
      <w:bookmarkEnd w:id="13"/>
      <w:r w:rsidR="008D154A" w:rsidRPr="000F6357">
        <w:t xml:space="preserve"> </w:t>
      </w:r>
    </w:p>
    <w:p w14:paraId="61D50708" w14:textId="77777777" w:rsidR="00E7774E" w:rsidRPr="00E7774E" w:rsidRDefault="00E7774E" w:rsidP="00E7774E">
      <w:pPr>
        <w:spacing w:after="0" w:line="240" w:lineRule="auto"/>
      </w:pPr>
    </w:p>
    <w:p w14:paraId="51F0944E" w14:textId="6779098D" w:rsidR="001F7AFB" w:rsidRDefault="00F32FD0" w:rsidP="00DC29CB">
      <w:pPr>
        <w:spacing w:line="480" w:lineRule="auto"/>
        <w:ind w:firstLine="720"/>
        <w:contextualSpacing/>
        <w:jc w:val="both"/>
      </w:pPr>
      <w:r>
        <w:t xml:space="preserve">Under </w:t>
      </w:r>
      <w:r w:rsidR="00E7774E">
        <w:t>the Air Act</w:t>
      </w:r>
      <w:r>
        <w:t>, t</w:t>
      </w:r>
      <w:r w:rsidR="00924A2D">
        <w:t>he Board may not promulgate a rule</w:t>
      </w:r>
      <w:r w:rsidR="00FB7A7F">
        <w:t xml:space="preserve"> or regulation</w:t>
      </w:r>
      <w:r w:rsidR="00924A2D">
        <w:t xml:space="preserve"> that is no more stringent than necessary to </w:t>
      </w:r>
      <w:r w:rsidR="00014629">
        <w:t xml:space="preserve">maintain </w:t>
      </w:r>
      <w:r w:rsidR="00924A2D">
        <w:t xml:space="preserve">the </w:t>
      </w:r>
      <w:r w:rsidR="00CF4BB2">
        <w:t>ambient air quality</w:t>
      </w:r>
      <w:r w:rsidR="00DC29CB">
        <w:t xml:space="preserve"> </w:t>
      </w:r>
      <w:r w:rsidR="00924A2D">
        <w:t>standard.</w:t>
      </w:r>
      <w:r w:rsidR="00FB7A7F">
        <w:t xml:space="preserve">  </w:t>
      </w:r>
      <w:r w:rsidR="00DC29CB" w:rsidRPr="00DC29CB">
        <w:rPr>
          <w:i/>
          <w:iCs/>
        </w:rPr>
        <w:t>See</w:t>
      </w:r>
      <w:r w:rsidR="003E1205" w:rsidRPr="003E1205">
        <w:rPr>
          <w:rFonts w:cs="Times New Roman"/>
          <w:i/>
          <w:iCs/>
          <w:szCs w:val="24"/>
        </w:rPr>
        <w:t xml:space="preserve"> </w:t>
      </w:r>
      <w:r w:rsidR="003E1205" w:rsidRPr="00243294">
        <w:rPr>
          <w:rFonts w:cs="Times New Roman"/>
          <w:i/>
          <w:iCs/>
          <w:szCs w:val="24"/>
        </w:rPr>
        <w:t>Pub. Serv. Co. of New Mexico</w:t>
      </w:r>
      <w:r w:rsidR="00FB7A7F">
        <w:t xml:space="preserve">, 1976-NMCA-039, ¶ 19; </w:t>
      </w:r>
      <w:r w:rsidR="00FB7A7F" w:rsidRPr="00FB7A7F">
        <w:rPr>
          <w:i/>
          <w:iCs/>
        </w:rPr>
        <w:t xml:space="preserve">Kennecott Copper Corp. v. New Mexico </w:t>
      </w:r>
      <w:proofErr w:type="spellStart"/>
      <w:r w:rsidR="00FB7A7F" w:rsidRPr="00FB7A7F">
        <w:rPr>
          <w:i/>
          <w:iCs/>
        </w:rPr>
        <w:t>Envtl</w:t>
      </w:r>
      <w:proofErr w:type="spellEnd"/>
      <w:r w:rsidR="00FB7A7F" w:rsidRPr="00FB7A7F">
        <w:rPr>
          <w:i/>
          <w:iCs/>
        </w:rPr>
        <w:t>. Imp. Bd</w:t>
      </w:r>
      <w:r w:rsidR="00FB7A7F">
        <w:t xml:space="preserve">., 1980-NMCA-007, ¶ 9, 94 N.M. 610, 613, 614 P.2d 22, 25, </w:t>
      </w:r>
      <w:r w:rsidR="00FB7A7F" w:rsidRPr="00FB7A7F">
        <w:rPr>
          <w:i/>
          <w:iCs/>
        </w:rPr>
        <w:t xml:space="preserve">writ quashed sub nom. Kennecott Copper Corp. v. New Mexico </w:t>
      </w:r>
      <w:proofErr w:type="spellStart"/>
      <w:r w:rsidR="00FB7A7F" w:rsidRPr="00FB7A7F">
        <w:rPr>
          <w:i/>
          <w:iCs/>
        </w:rPr>
        <w:t>Envtl</w:t>
      </w:r>
      <w:proofErr w:type="spellEnd"/>
      <w:r w:rsidR="00FB7A7F" w:rsidRPr="00FB7A7F">
        <w:rPr>
          <w:i/>
          <w:iCs/>
        </w:rPr>
        <w:t>. Improvement Bd</w:t>
      </w:r>
      <w:r w:rsidR="00FB7A7F">
        <w:t>., 94 N.M. 675</w:t>
      </w:r>
      <w:r w:rsidR="008069AF">
        <w:t xml:space="preserve"> </w:t>
      </w:r>
      <w:r w:rsidR="00FB7A7F">
        <w:t xml:space="preserve">(1980) (“The Board there [in </w:t>
      </w:r>
      <w:r w:rsidR="00FB7A7F" w:rsidRPr="00FB7A7F">
        <w:rPr>
          <w:i/>
          <w:iCs/>
        </w:rPr>
        <w:t>Public Service Co</w:t>
      </w:r>
      <w:r w:rsidR="00FB7A7F">
        <w:t>.] established a standard and then adopted regulations that required performance far beyond that necessary to meet the standard.”).</w:t>
      </w:r>
      <w:r w:rsidR="003A2718">
        <w:t xml:space="preserve">  </w:t>
      </w:r>
    </w:p>
    <w:p w14:paraId="2A2E6812" w14:textId="2F48A42D" w:rsidR="003A2718" w:rsidRDefault="00CF4BB2" w:rsidP="00DC29CB">
      <w:pPr>
        <w:spacing w:line="480" w:lineRule="auto"/>
        <w:ind w:firstLine="720"/>
        <w:contextualSpacing/>
        <w:jc w:val="both"/>
      </w:pPr>
      <w:r>
        <w:lastRenderedPageBreak/>
        <w:t>The Board</w:t>
      </w:r>
      <w:r w:rsidR="00AD697B">
        <w:t xml:space="preserve"> </w:t>
      </w:r>
      <w:r w:rsidR="004154AE">
        <w:t xml:space="preserve">is bound by the </w:t>
      </w:r>
      <w:r w:rsidR="00E13C0B">
        <w:t xml:space="preserve">ambient air quality </w:t>
      </w:r>
      <w:r w:rsidR="004154AE">
        <w:t xml:space="preserve">standard and “may not </w:t>
      </w:r>
      <w:r w:rsidR="00E7774E">
        <w:t>. . .</w:t>
      </w:r>
      <w:r w:rsidR="004154AE">
        <w:t xml:space="preserve"> adopt regulations implementing or explaining it for any reason other than to [maintain the standard].”</w:t>
      </w:r>
      <w:r w:rsidR="006B6FE0" w:rsidRPr="006B6FE0">
        <w:rPr>
          <w:rFonts w:cs="Times New Roman"/>
          <w:i/>
          <w:iCs/>
          <w:szCs w:val="24"/>
        </w:rPr>
        <w:t xml:space="preserve"> </w:t>
      </w:r>
      <w:r w:rsidR="006B6FE0" w:rsidRPr="00106144">
        <w:rPr>
          <w:rFonts w:cs="Times New Roman"/>
          <w:i/>
          <w:iCs/>
          <w:szCs w:val="24"/>
        </w:rPr>
        <w:t>Pub. Serv. Co. of New Mexico</w:t>
      </w:r>
      <w:r w:rsidR="004154AE">
        <w:t xml:space="preserve">, 1976-NMCA-039, ¶ 19. </w:t>
      </w:r>
      <w:r w:rsidR="00AD697B">
        <w:t xml:space="preserve"> </w:t>
      </w:r>
      <w:r w:rsidR="003A2718">
        <w:t>As discussed above</w:t>
      </w:r>
      <w:r w:rsidR="004154AE">
        <w:t xml:space="preserve"> (</w:t>
      </w:r>
      <w:r w:rsidR="004154AE" w:rsidRPr="004154AE">
        <w:rPr>
          <w:i/>
          <w:iCs/>
        </w:rPr>
        <w:t xml:space="preserve">supra </w:t>
      </w:r>
      <w:r w:rsidR="004154AE" w:rsidRPr="004154AE">
        <w:t>IV</w:t>
      </w:r>
      <w:r w:rsidR="004154AE">
        <w:t>)</w:t>
      </w:r>
      <w:r w:rsidR="003A2718">
        <w:t>, in</w:t>
      </w:r>
      <w:r w:rsidR="002024B3" w:rsidRPr="002024B3">
        <w:rPr>
          <w:rFonts w:cs="Times New Roman"/>
          <w:i/>
          <w:iCs/>
          <w:szCs w:val="24"/>
        </w:rPr>
        <w:t xml:space="preserve"> </w:t>
      </w:r>
      <w:bookmarkStart w:id="14" w:name="_Hlk93321643"/>
      <w:r w:rsidR="002024B3" w:rsidRPr="00243294">
        <w:rPr>
          <w:rFonts w:cs="Times New Roman"/>
          <w:i/>
          <w:iCs/>
          <w:szCs w:val="24"/>
        </w:rPr>
        <w:t>Pub. Serv. Co. of New Mexico</w:t>
      </w:r>
      <w:bookmarkEnd w:id="14"/>
      <w:r w:rsidR="003A2718" w:rsidRPr="003A2718">
        <w:rPr>
          <w:i/>
          <w:iCs/>
        </w:rPr>
        <w:t>.</w:t>
      </w:r>
      <w:r w:rsidR="003A2718">
        <w:t>, the Board adopted regulations related to sulfur dioxide reductions based on “new industry in the Four Corners” and “for New Mexico to regain control over its air in the Four Corners region.” 1976-NMCA-039, ¶¶ 10-11.</w:t>
      </w:r>
      <w:r w:rsidR="00111C0A">
        <w:t xml:space="preserve">  The Court held that these reasons were not in accordance with law because the Board’s mandate does not provide</w:t>
      </w:r>
      <w:r w:rsidR="001A6095">
        <w:t xml:space="preserve"> the Board with authority to act for those reasons cited</w:t>
      </w:r>
      <w:r w:rsidR="00111C0A">
        <w:t xml:space="preserve">. </w:t>
      </w:r>
      <w:r w:rsidR="001A6095">
        <w:t xml:space="preserve"> </w:t>
      </w:r>
      <w:r w:rsidR="00111C0A" w:rsidRPr="00111C0A">
        <w:rPr>
          <w:i/>
          <w:iCs/>
        </w:rPr>
        <w:t>Id</w:t>
      </w:r>
      <w:r w:rsidR="00111C0A">
        <w:t xml:space="preserve">. ¶¶ 11, 17; </w:t>
      </w:r>
      <w:r w:rsidR="00111C0A" w:rsidRPr="00111C0A">
        <w:rPr>
          <w:i/>
          <w:iCs/>
        </w:rPr>
        <w:t>see also</w:t>
      </w:r>
      <w:r w:rsidR="00111C0A">
        <w:t xml:space="preserve"> </w:t>
      </w:r>
      <w:r w:rsidR="00111C0A" w:rsidRPr="001A6095">
        <w:rPr>
          <w:i/>
          <w:iCs/>
        </w:rPr>
        <w:t>Kennecott Copper Corp</w:t>
      </w:r>
      <w:r w:rsidR="00111C0A">
        <w:t>., 1980-NMCA-007, ¶ 9, 94 N.M. 610, 613</w:t>
      </w:r>
      <w:r w:rsidR="001A6095">
        <w:t xml:space="preserve"> </w:t>
      </w:r>
      <w:r w:rsidR="00111C0A">
        <w:t>(“The Board, therefore, although authorized to adopt regulations to assure that the standard will not be violated, was without authority to establish a regulation for the reasons stated in its Public Service Co. decision.”</w:t>
      </w:r>
      <w:r w:rsidR="001A6095">
        <w:t xml:space="preserve">).  </w:t>
      </w:r>
    </w:p>
    <w:p w14:paraId="7C602C26" w14:textId="113FD7B7" w:rsidR="004154AE" w:rsidRDefault="00E13C0B" w:rsidP="001A6095">
      <w:pPr>
        <w:spacing w:line="480" w:lineRule="auto"/>
        <w:ind w:firstLine="720"/>
        <w:contextualSpacing/>
        <w:jc w:val="both"/>
      </w:pPr>
      <w:r>
        <w:t>L</w:t>
      </w:r>
      <w:r w:rsidR="003C3536">
        <w:t xml:space="preserve">ongstanding New Mexico precedent specifies that the Board’s regulations cannot be more stringent than necessary to </w:t>
      </w:r>
      <w:r w:rsidR="009753AC">
        <w:t xml:space="preserve">maintain </w:t>
      </w:r>
      <w:r w:rsidR="003C3536">
        <w:t xml:space="preserve">the </w:t>
      </w:r>
      <w:r>
        <w:t xml:space="preserve">ambient air quality </w:t>
      </w:r>
      <w:r w:rsidR="003C3536">
        <w:t xml:space="preserve">standard.  </w:t>
      </w:r>
      <w:r w:rsidR="00E2699C" w:rsidRPr="00E2699C">
        <w:rPr>
          <w:rFonts w:cs="Times New Roman"/>
          <w:i/>
          <w:iCs/>
          <w:szCs w:val="24"/>
        </w:rPr>
        <w:t xml:space="preserve"> </w:t>
      </w:r>
      <w:r w:rsidR="00E2699C" w:rsidRPr="00243294">
        <w:rPr>
          <w:rFonts w:cs="Times New Roman"/>
          <w:i/>
          <w:iCs/>
          <w:szCs w:val="24"/>
        </w:rPr>
        <w:t>Pub. Serv. Co. of New Mexico</w:t>
      </w:r>
      <w:r w:rsidR="003C3536">
        <w:t xml:space="preserve">, 1976-NMCA-039, ¶ 19; </w:t>
      </w:r>
      <w:r w:rsidR="003C3536" w:rsidRPr="00FB7A7F">
        <w:rPr>
          <w:i/>
          <w:iCs/>
        </w:rPr>
        <w:t>Kennecott Copper Corp</w:t>
      </w:r>
      <w:r w:rsidR="00EE13EB">
        <w:rPr>
          <w:i/>
          <w:iCs/>
        </w:rPr>
        <w:t>.</w:t>
      </w:r>
      <w:r w:rsidR="003C3536">
        <w:t>, 1980-NMCA-007, ¶ 9</w:t>
      </w:r>
      <w:r w:rsidR="003C3536" w:rsidRPr="003C3536">
        <w:t xml:space="preserve">. </w:t>
      </w:r>
      <w:r w:rsidR="00AD697B">
        <w:t xml:space="preserve"> </w:t>
      </w:r>
      <w:r w:rsidR="00C20324">
        <w:t>Proposed rules that are “more protective of public health and environment” do not provide a basis for the Board to promulgate rules that are more stringent than federal laws, regulations, or rules</w:t>
      </w:r>
      <w:r w:rsidR="00DC29CB">
        <w:t>, or allow the Board to deviate from its statutory mandate</w:t>
      </w:r>
      <w:r w:rsidR="00C20324">
        <w:t xml:space="preserve">.  </w:t>
      </w:r>
      <w:r w:rsidR="00DC29CB" w:rsidRPr="003C3536">
        <w:t>§ 74-2-5(G)</w:t>
      </w:r>
      <w:r w:rsidR="00DC29CB">
        <w:t xml:space="preserve">.  </w:t>
      </w:r>
      <w:r w:rsidR="00C20324">
        <w:t xml:space="preserve">Simply put, the Board may only propose rules </w:t>
      </w:r>
      <w:r w:rsidR="00C20324" w:rsidRPr="00C20324">
        <w:t>to regulate NOx and VOC emissions for controlling ozone concentrations in areas that exceed 95% of the NAAQ</w:t>
      </w:r>
      <w:r w:rsidR="00014629">
        <w:t xml:space="preserve">S </w:t>
      </w:r>
      <w:r w:rsidR="001175DB">
        <w:t>that are necessary, but no more stringent than necessary, to assure compliance with the ozone NAAQS</w:t>
      </w:r>
      <w:r w:rsidR="00C20324" w:rsidRPr="00C20324">
        <w:t xml:space="preserve">.  </w:t>
      </w:r>
    </w:p>
    <w:p w14:paraId="137F18A3" w14:textId="0E493B3D" w:rsidR="0053570B" w:rsidRDefault="00FA5EDE" w:rsidP="0053570B">
      <w:pPr>
        <w:pStyle w:val="Heading2"/>
      </w:pPr>
      <w:bookmarkStart w:id="15" w:name="_Toc93568148"/>
      <w:r>
        <w:t>The Board lacks authority to promulgate Section 125(G)</w:t>
      </w:r>
      <w:bookmarkEnd w:id="15"/>
    </w:p>
    <w:p w14:paraId="44ED68F2" w14:textId="77777777" w:rsidR="003E1205" w:rsidRPr="003E1205" w:rsidRDefault="003E1205" w:rsidP="003E1205">
      <w:pPr>
        <w:spacing w:after="0" w:line="240" w:lineRule="auto"/>
      </w:pPr>
    </w:p>
    <w:p w14:paraId="7C5FCD27" w14:textId="455E4DD5" w:rsidR="00FA5EDE" w:rsidRDefault="00FA3079" w:rsidP="0053570B">
      <w:pPr>
        <w:spacing w:after="0" w:line="480" w:lineRule="auto"/>
        <w:ind w:firstLine="720"/>
        <w:jc w:val="both"/>
      </w:pPr>
      <w:r>
        <w:t xml:space="preserve">Under Section 74-2-12, </w:t>
      </w:r>
      <w:r w:rsidR="006B6FE0">
        <w:t xml:space="preserve">civil enforcement authority is delegated to </w:t>
      </w:r>
      <w:r>
        <w:t>the Secretary of the Department</w:t>
      </w:r>
      <w:r w:rsidR="006B6FE0">
        <w:t>.  The Secretary</w:t>
      </w:r>
      <w:r>
        <w:t xml:space="preserve"> may issue a compliance order or commence a civil action in district </w:t>
      </w:r>
      <w:r>
        <w:lastRenderedPageBreak/>
        <w:t>court upon a determination that a person has violated or is violating the Air  Act</w:t>
      </w:r>
      <w:r w:rsidR="0053570B">
        <w:t xml:space="preserve"> or a regulation promulgated pursuant thereto</w:t>
      </w:r>
      <w:r w:rsidR="006B6FE0">
        <w:t>, and “</w:t>
      </w:r>
      <w:r w:rsidR="006B6FE0" w:rsidRPr="006B6FE0">
        <w:t xml:space="preserve">may include a suspension or revocation of the permit or portion thereof issued by the secretary </w:t>
      </w:r>
      <w:r w:rsidR="000C785C">
        <w:t xml:space="preserve">. . . </w:t>
      </w:r>
      <w:r w:rsidR="006B6FE0" w:rsidRPr="006B6FE0">
        <w:t xml:space="preserve"> that is alleged to have been violated</w:t>
      </w:r>
      <w:r w:rsidR="0053570B">
        <w:t>.</w:t>
      </w:r>
      <w:r w:rsidR="000C785C">
        <w:t>”</w:t>
      </w:r>
      <w:r w:rsidR="0053570B">
        <w:t xml:space="preserve"> </w:t>
      </w:r>
      <w:r w:rsidR="0053570B" w:rsidRPr="0053570B">
        <w:rPr>
          <w:i/>
          <w:iCs/>
        </w:rPr>
        <w:t>See</w:t>
      </w:r>
      <w:r w:rsidR="0053570B">
        <w:t xml:space="preserve"> NMSA 1978 </w:t>
      </w:r>
      <w:r w:rsidR="0053570B" w:rsidRPr="003F218A">
        <w:t>§</w:t>
      </w:r>
      <w:r w:rsidR="0053570B">
        <w:t xml:space="preserve"> 74-2-12(A)(1) and (2)</w:t>
      </w:r>
      <w:r w:rsidR="000C785C">
        <w:t xml:space="preserve"> and (B)</w:t>
      </w:r>
      <w:r w:rsidR="0053570B">
        <w:t xml:space="preserve">. </w:t>
      </w:r>
      <w:r w:rsidR="00006027">
        <w:t xml:space="preserve"> </w:t>
      </w:r>
      <w:r w:rsidR="0053570B">
        <w:t>Under the proposed 20.2.50.125(G)</w:t>
      </w:r>
      <w:r w:rsidR="00C40C1B">
        <w:t xml:space="preserve"> NMAC</w:t>
      </w:r>
      <w:r w:rsidR="0053570B">
        <w:t xml:space="preserve">, </w:t>
      </w:r>
      <w:r w:rsidR="00C40C1B">
        <w:t>NMED</w:t>
      </w:r>
      <w:r w:rsidR="0053570B">
        <w:t xml:space="preserve"> proposes the following:</w:t>
      </w:r>
    </w:p>
    <w:p w14:paraId="207AD59C" w14:textId="3A04EE9C" w:rsidR="0053570B" w:rsidRDefault="0053570B" w:rsidP="0053570B">
      <w:pPr>
        <w:spacing w:after="0" w:line="240" w:lineRule="auto"/>
        <w:ind w:left="720" w:right="720"/>
        <w:jc w:val="both"/>
      </w:pPr>
      <w:r w:rsidRPr="0053570B">
        <w:t>Failure to comply with 20.2.50.125 NMAC:  Notwithstanding the provisions of Section 20.2.50.125 NMAC, a source that meets the definition of a small business facility can be required to comply with the other Sections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14:paraId="6A429F33" w14:textId="18E26123" w:rsidR="0053570B" w:rsidRDefault="0053570B" w:rsidP="0053570B">
      <w:pPr>
        <w:spacing w:after="0" w:line="240" w:lineRule="auto"/>
        <w:ind w:right="720"/>
        <w:jc w:val="both"/>
      </w:pPr>
    </w:p>
    <w:p w14:paraId="23000B83" w14:textId="20FFBE30" w:rsidR="00FA5EDE" w:rsidRPr="00FA5EDE" w:rsidRDefault="0053570B" w:rsidP="00006027">
      <w:pPr>
        <w:spacing w:after="0" w:line="480" w:lineRule="auto"/>
        <w:jc w:val="both"/>
      </w:pPr>
      <w:r>
        <w:tab/>
      </w:r>
      <w:r w:rsidR="00125DAB">
        <w:t>As mentioned in Section III (</w:t>
      </w:r>
      <w:r w:rsidR="00125DAB" w:rsidRPr="00125DAB">
        <w:rPr>
          <w:i/>
          <w:iCs/>
        </w:rPr>
        <w:t>supra</w:t>
      </w:r>
      <w:r w:rsidR="00125DAB" w:rsidRPr="00125DAB">
        <w:t>),</w:t>
      </w:r>
      <w:r w:rsidR="00125DAB">
        <w:t xml:space="preserve"> the EIB’s jurisdiction is statutorily </w:t>
      </w:r>
      <w:proofErr w:type="gramStart"/>
      <w:r w:rsidR="00125DAB">
        <w:t>defined</w:t>
      </w:r>
      <w:proofErr w:type="gramEnd"/>
      <w:r w:rsidR="00125DAB">
        <w:t xml:space="preserve"> and it is limited to the exercising the authority granted by statute. </w:t>
      </w:r>
      <w:r w:rsidR="00125DAB" w:rsidRPr="00125DAB">
        <w:rPr>
          <w:i/>
          <w:iCs/>
        </w:rPr>
        <w:t>See</w:t>
      </w:r>
      <w:r w:rsidR="00125DAB">
        <w:t xml:space="preserve"> </w:t>
      </w:r>
      <w:r w:rsidR="00125DAB" w:rsidRPr="0083414B">
        <w:rPr>
          <w:rFonts w:cs="Times New Roman"/>
          <w:i/>
          <w:iCs/>
          <w:szCs w:val="24"/>
        </w:rPr>
        <w:t xml:space="preserve">New Mexico Taxation &amp; Revenue </w:t>
      </w:r>
      <w:proofErr w:type="spellStart"/>
      <w:r w:rsidR="00125DAB" w:rsidRPr="0083414B">
        <w:rPr>
          <w:rFonts w:cs="Times New Roman"/>
          <w:i/>
          <w:iCs/>
          <w:szCs w:val="24"/>
        </w:rPr>
        <w:t>Dep't</w:t>
      </w:r>
      <w:proofErr w:type="spellEnd"/>
      <w:r w:rsidR="00125DAB" w:rsidRPr="00F159EE">
        <w:rPr>
          <w:rFonts w:cs="Times New Roman"/>
          <w:szCs w:val="24"/>
        </w:rPr>
        <w:t>,</w:t>
      </w:r>
      <w:r w:rsidR="00125DAB" w:rsidRPr="0083414B">
        <w:rPr>
          <w:rFonts w:cs="Times New Roman"/>
          <w:szCs w:val="24"/>
        </w:rPr>
        <w:t xml:space="preserve"> 2019-NMCA-054, ¶ 6</w:t>
      </w:r>
      <w:r w:rsidR="00125DAB">
        <w:rPr>
          <w:rFonts w:cs="Times New Roman"/>
          <w:szCs w:val="24"/>
        </w:rPr>
        <w:t xml:space="preserve">; </w:t>
      </w:r>
      <w:r w:rsidR="00125DAB" w:rsidRPr="001B24AC">
        <w:rPr>
          <w:rFonts w:cs="Times New Roman"/>
          <w:i/>
          <w:iCs/>
          <w:szCs w:val="24"/>
        </w:rPr>
        <w:t>Wilcox</w:t>
      </w:r>
      <w:r w:rsidR="00125DAB" w:rsidRPr="00125DAB">
        <w:rPr>
          <w:rFonts w:cs="Times New Roman"/>
          <w:szCs w:val="24"/>
        </w:rPr>
        <w:t>, 2012-NMCA-106, ¶ 7</w:t>
      </w:r>
      <w:r w:rsidR="00125DAB">
        <w:rPr>
          <w:rFonts w:cs="Times New Roman"/>
          <w:szCs w:val="24"/>
        </w:rPr>
        <w:t xml:space="preserve"> (“An </w:t>
      </w:r>
      <w:r w:rsidR="00125DAB" w:rsidRPr="00F71686">
        <w:rPr>
          <w:rFonts w:cs="Times New Roman"/>
          <w:szCs w:val="24"/>
        </w:rPr>
        <w:t>administrative agency has no power to create a rule or regulation that is not in harmony with its statutory authority</w:t>
      </w:r>
      <w:r w:rsidR="00125DAB">
        <w:t>.”).  The Department’s enforcement authority is independent of the Board’s authority</w:t>
      </w:r>
      <w:r w:rsidR="001B24AC">
        <w:t xml:space="preserve"> and derives directly from the Legislature.  The EIB, consequently, does not have the authority to </w:t>
      </w:r>
      <w:r w:rsidR="000C785C">
        <w:t>grant</w:t>
      </w:r>
      <w:r w:rsidR="001B24AC">
        <w:t xml:space="preserve"> </w:t>
      </w:r>
      <w:r w:rsidR="000C785C">
        <w:t xml:space="preserve">additional </w:t>
      </w:r>
      <w:r w:rsidR="001B24AC">
        <w:t>enforcement authority to the Department.</w:t>
      </w:r>
      <w:r w:rsidR="00006027">
        <w:t xml:space="preserve">  </w:t>
      </w:r>
      <w:r w:rsidR="001B24AC">
        <w:t xml:space="preserve">In effect, the Board usurps the role of the Legislature by promulgating Section 125(G).  Because the Board has no authority to promulgate this rule, it must </w:t>
      </w:r>
      <w:r w:rsidR="000C785C">
        <w:t>reject</w:t>
      </w:r>
      <w:r w:rsidR="00006027">
        <w:t xml:space="preserve"> proposed </w:t>
      </w:r>
      <w:r w:rsidR="001B24AC">
        <w:t>Section 125(G)</w:t>
      </w:r>
      <w:r w:rsidR="00006027">
        <w:t xml:space="preserve">. </w:t>
      </w:r>
    </w:p>
    <w:p w14:paraId="6018BCC0" w14:textId="6678119E" w:rsidR="00AD6662" w:rsidRDefault="00AD6662" w:rsidP="00AD6662">
      <w:pPr>
        <w:pStyle w:val="Heading1"/>
      </w:pPr>
      <w:bookmarkStart w:id="16" w:name="_Toc93568149"/>
      <w:r>
        <w:t>CONCLUSION</w:t>
      </w:r>
      <w:bookmarkEnd w:id="16"/>
    </w:p>
    <w:p w14:paraId="2748CFF6" w14:textId="77777777" w:rsidR="00271F1A" w:rsidRPr="00271F1A" w:rsidRDefault="00271F1A" w:rsidP="00271F1A">
      <w:pPr>
        <w:spacing w:after="0"/>
      </w:pPr>
    </w:p>
    <w:p w14:paraId="250E0AB9" w14:textId="7C58D24D" w:rsidR="00271F1A" w:rsidRDefault="00271F1A" w:rsidP="00B46A72">
      <w:pPr>
        <w:spacing w:line="480" w:lineRule="auto"/>
        <w:jc w:val="both"/>
      </w:pPr>
      <w:r>
        <w:tab/>
        <w:t xml:space="preserve">For the reasons stated herein, the </w:t>
      </w:r>
      <w:r w:rsidR="00C40C1B">
        <w:t>Board</w:t>
      </w:r>
      <w:r>
        <w:t xml:space="preserve"> should </w:t>
      </w:r>
      <w:r w:rsidR="008C1775">
        <w:t xml:space="preserve">reject NMED’s proposed plan and stay any further proceedings to adopt Part 50 until it adopts the necessary plan for addressing regulation of NOx and VOCs in areas </w:t>
      </w:r>
      <w:proofErr w:type="gramStart"/>
      <w:r w:rsidR="008C1775">
        <w:t>in excess of</w:t>
      </w:r>
      <w:proofErr w:type="gramEnd"/>
      <w:r w:rsidR="008C1775">
        <w:t xml:space="preserve"> 95% of the ozone NAAQS.  If the Board decides to proceed, </w:t>
      </w:r>
      <w:r w:rsidR="008C1775">
        <w:lastRenderedPageBreak/>
        <w:t xml:space="preserve">it should </w:t>
      </w:r>
      <w:r>
        <w:t xml:space="preserve">accept IPANM’s proposed final changes to Part 50 attached as </w:t>
      </w:r>
      <w:r>
        <w:rPr>
          <w:b/>
          <w:bCs/>
        </w:rPr>
        <w:t>Exhibit A</w:t>
      </w:r>
      <w:r>
        <w:t xml:space="preserve"> and Statement of Reasons attached as </w:t>
      </w:r>
      <w:r>
        <w:rPr>
          <w:b/>
          <w:bCs/>
        </w:rPr>
        <w:t>Exhibit B</w:t>
      </w:r>
      <w:r>
        <w:t xml:space="preserve"> and amend 20.2.50 NMAC accordingly.</w:t>
      </w:r>
    </w:p>
    <w:p w14:paraId="4B08566A" w14:textId="77777777" w:rsidR="00271F1A" w:rsidRDefault="00271F1A" w:rsidP="008637DA">
      <w:pPr>
        <w:spacing w:line="480" w:lineRule="auto"/>
      </w:pPr>
      <w:r>
        <w:tab/>
      </w:r>
      <w:r>
        <w:tab/>
      </w:r>
      <w:r>
        <w:tab/>
      </w:r>
      <w:r>
        <w:tab/>
      </w:r>
      <w:r>
        <w:tab/>
      </w:r>
      <w:r>
        <w:tab/>
      </w:r>
      <w:r>
        <w:tab/>
        <w:t>Respectfully submitted,</w:t>
      </w:r>
    </w:p>
    <w:p w14:paraId="33C0869D" w14:textId="77777777" w:rsidR="00271F1A" w:rsidRDefault="00271F1A" w:rsidP="008637DA">
      <w:pPr>
        <w:spacing w:line="480" w:lineRule="auto"/>
      </w:pPr>
      <w:r>
        <w:tab/>
      </w:r>
      <w:r>
        <w:tab/>
      </w:r>
      <w:r>
        <w:tab/>
      </w:r>
      <w:r>
        <w:tab/>
      </w:r>
      <w:r>
        <w:tab/>
      </w:r>
      <w:r>
        <w:tab/>
      </w:r>
      <w:r>
        <w:tab/>
        <w:t>MONTGOMERY &amp; ANDREWS, P.A.</w:t>
      </w:r>
    </w:p>
    <w:p w14:paraId="2A660FEB" w14:textId="7BE46BBC" w:rsidR="00271F1A" w:rsidRDefault="00271F1A" w:rsidP="00271F1A">
      <w:pPr>
        <w:spacing w:after="0" w:line="240" w:lineRule="auto"/>
      </w:pPr>
      <w:r>
        <w:tab/>
      </w:r>
      <w:r>
        <w:tab/>
      </w:r>
      <w:r>
        <w:tab/>
      </w:r>
      <w:r>
        <w:tab/>
      </w:r>
      <w:r>
        <w:tab/>
      </w:r>
      <w:r>
        <w:tab/>
      </w:r>
      <w:r>
        <w:tab/>
        <w:t>By:_</w:t>
      </w:r>
      <w:r w:rsidR="00300AB2">
        <w:rPr>
          <w:i/>
          <w:iCs/>
          <w:u w:val="single"/>
        </w:rPr>
        <w:t>/s/ Louis W. Rose</w:t>
      </w:r>
      <w:r>
        <w:t>_________</w:t>
      </w:r>
    </w:p>
    <w:p w14:paraId="6560027F" w14:textId="776955B3" w:rsidR="00271F1A" w:rsidRDefault="00271F1A" w:rsidP="00271F1A">
      <w:pPr>
        <w:spacing w:after="0" w:line="240" w:lineRule="auto"/>
      </w:pPr>
      <w:r>
        <w:tab/>
      </w:r>
      <w:r>
        <w:tab/>
      </w:r>
      <w:r>
        <w:tab/>
      </w:r>
      <w:r>
        <w:tab/>
      </w:r>
      <w:r>
        <w:tab/>
      </w:r>
      <w:r>
        <w:tab/>
      </w:r>
      <w:r>
        <w:tab/>
        <w:t>Louis W. Rose</w:t>
      </w:r>
    </w:p>
    <w:p w14:paraId="1F099D27" w14:textId="40C28CEC" w:rsidR="00271F1A" w:rsidRDefault="00271F1A" w:rsidP="00271F1A">
      <w:pPr>
        <w:spacing w:after="0" w:line="240" w:lineRule="auto"/>
      </w:pPr>
      <w:r>
        <w:tab/>
      </w:r>
      <w:r>
        <w:tab/>
      </w:r>
      <w:r>
        <w:tab/>
      </w:r>
      <w:r>
        <w:tab/>
      </w:r>
      <w:r>
        <w:tab/>
      </w:r>
      <w:r>
        <w:tab/>
      </w:r>
      <w:r>
        <w:tab/>
        <w:t>Kari Olson</w:t>
      </w:r>
    </w:p>
    <w:p w14:paraId="02A52243" w14:textId="7C2870C2" w:rsidR="00271F1A" w:rsidRDefault="00271F1A" w:rsidP="00271F1A">
      <w:pPr>
        <w:spacing w:after="0" w:line="240" w:lineRule="auto"/>
      </w:pPr>
      <w:r>
        <w:tab/>
      </w:r>
      <w:r>
        <w:tab/>
      </w:r>
      <w:r>
        <w:tab/>
      </w:r>
      <w:r>
        <w:tab/>
      </w:r>
      <w:r>
        <w:tab/>
      </w:r>
      <w:r>
        <w:tab/>
      </w:r>
      <w:r>
        <w:tab/>
        <w:t>Ricardo S. Gonzales</w:t>
      </w:r>
    </w:p>
    <w:p w14:paraId="367ABC89" w14:textId="2EC81861" w:rsidR="00271F1A" w:rsidRDefault="00271F1A" w:rsidP="00271F1A">
      <w:pPr>
        <w:spacing w:after="0" w:line="240" w:lineRule="auto"/>
      </w:pPr>
      <w:r>
        <w:tab/>
      </w:r>
      <w:r>
        <w:tab/>
      </w:r>
      <w:r>
        <w:tab/>
      </w:r>
      <w:r>
        <w:tab/>
      </w:r>
      <w:r>
        <w:tab/>
      </w:r>
      <w:r>
        <w:tab/>
      </w:r>
      <w:r>
        <w:tab/>
        <w:t>Post Office Box 2307</w:t>
      </w:r>
    </w:p>
    <w:p w14:paraId="4D5C069F" w14:textId="4D7A0C42" w:rsidR="00271F1A" w:rsidRDefault="00271F1A" w:rsidP="00271F1A">
      <w:pPr>
        <w:spacing w:after="0" w:line="240" w:lineRule="auto"/>
      </w:pPr>
      <w:r>
        <w:tab/>
      </w:r>
      <w:r>
        <w:tab/>
      </w:r>
      <w:r>
        <w:tab/>
      </w:r>
      <w:r>
        <w:tab/>
      </w:r>
      <w:r>
        <w:tab/>
      </w:r>
      <w:r>
        <w:tab/>
      </w:r>
      <w:r>
        <w:tab/>
        <w:t>Santa Fe, New Mexico 87504-2307</w:t>
      </w:r>
    </w:p>
    <w:p w14:paraId="5E352607" w14:textId="2F134FA0" w:rsidR="00271F1A" w:rsidRDefault="00271F1A" w:rsidP="00271F1A">
      <w:pPr>
        <w:spacing w:after="0" w:line="240" w:lineRule="auto"/>
      </w:pPr>
      <w:r>
        <w:tab/>
      </w:r>
      <w:r>
        <w:tab/>
      </w:r>
      <w:r>
        <w:tab/>
      </w:r>
      <w:r>
        <w:tab/>
      </w:r>
      <w:r>
        <w:tab/>
      </w:r>
      <w:r>
        <w:tab/>
      </w:r>
      <w:r>
        <w:tab/>
        <w:t>(505) 982-3873</w:t>
      </w:r>
    </w:p>
    <w:p w14:paraId="12E28A57" w14:textId="04000C2E" w:rsidR="00271F1A" w:rsidRDefault="00271F1A" w:rsidP="00271F1A">
      <w:pPr>
        <w:spacing w:after="0" w:line="240" w:lineRule="auto"/>
      </w:pPr>
      <w:r>
        <w:tab/>
      </w:r>
      <w:r>
        <w:tab/>
      </w:r>
      <w:r>
        <w:tab/>
      </w:r>
      <w:r>
        <w:tab/>
      </w:r>
      <w:r>
        <w:tab/>
      </w:r>
      <w:r>
        <w:tab/>
      </w:r>
      <w:r>
        <w:tab/>
      </w:r>
      <w:hyperlink r:id="rId11" w:history="1">
        <w:r w:rsidRPr="00874F68">
          <w:rPr>
            <w:rStyle w:val="Hyperlink"/>
          </w:rPr>
          <w:t>lrose@montand.com</w:t>
        </w:r>
      </w:hyperlink>
    </w:p>
    <w:p w14:paraId="5F74FCB4" w14:textId="017EB57E" w:rsidR="00271F1A" w:rsidRDefault="00271F1A" w:rsidP="00271F1A">
      <w:pPr>
        <w:spacing w:after="0" w:line="240" w:lineRule="auto"/>
      </w:pPr>
      <w:r>
        <w:tab/>
      </w:r>
      <w:r>
        <w:tab/>
      </w:r>
      <w:r>
        <w:tab/>
      </w:r>
      <w:r>
        <w:tab/>
      </w:r>
      <w:r>
        <w:tab/>
      </w:r>
      <w:r>
        <w:tab/>
      </w:r>
      <w:r>
        <w:tab/>
      </w:r>
      <w:hyperlink r:id="rId12" w:history="1">
        <w:r w:rsidRPr="00874F68">
          <w:rPr>
            <w:rStyle w:val="Hyperlink"/>
          </w:rPr>
          <w:t>kolson@montand.com</w:t>
        </w:r>
      </w:hyperlink>
    </w:p>
    <w:p w14:paraId="7087728E" w14:textId="37BE9AC5" w:rsidR="00271F1A" w:rsidRDefault="00271F1A" w:rsidP="00271F1A">
      <w:pPr>
        <w:spacing w:after="0" w:line="240" w:lineRule="auto"/>
      </w:pPr>
      <w:r>
        <w:tab/>
      </w:r>
      <w:r>
        <w:tab/>
      </w:r>
      <w:r>
        <w:tab/>
      </w:r>
      <w:r>
        <w:tab/>
      </w:r>
      <w:r>
        <w:tab/>
      </w:r>
      <w:r>
        <w:tab/>
      </w:r>
      <w:r>
        <w:tab/>
      </w:r>
      <w:hyperlink r:id="rId13" w:history="1">
        <w:r w:rsidRPr="00874F68">
          <w:rPr>
            <w:rStyle w:val="Hyperlink"/>
          </w:rPr>
          <w:t>rgonzales@montand.com</w:t>
        </w:r>
      </w:hyperlink>
    </w:p>
    <w:p w14:paraId="1082BAA4" w14:textId="77777777" w:rsidR="00271F1A" w:rsidRDefault="00271F1A" w:rsidP="00271F1A">
      <w:pPr>
        <w:spacing w:after="0" w:line="240" w:lineRule="auto"/>
      </w:pPr>
    </w:p>
    <w:p w14:paraId="4A72DC40" w14:textId="2F7DA924" w:rsidR="008637DA" w:rsidRDefault="008637DA" w:rsidP="00271F1A">
      <w:pPr>
        <w:spacing w:line="240" w:lineRule="auto"/>
      </w:pPr>
    </w:p>
    <w:p w14:paraId="37CA7519" w14:textId="50DB0FD6" w:rsidR="00530899" w:rsidRDefault="00530899" w:rsidP="00BF21E4">
      <w:pPr>
        <w:spacing w:after="0" w:line="480" w:lineRule="auto"/>
        <w:ind w:left="720"/>
      </w:pPr>
    </w:p>
    <w:p w14:paraId="7EFB5D28" w14:textId="0C31C544" w:rsidR="0080451E" w:rsidRDefault="0080451E" w:rsidP="00BF21E4">
      <w:pPr>
        <w:spacing w:after="0" w:line="480" w:lineRule="auto"/>
        <w:ind w:left="720"/>
      </w:pPr>
    </w:p>
    <w:p w14:paraId="6C696D62" w14:textId="239644D6" w:rsidR="0080451E" w:rsidRDefault="0080451E" w:rsidP="00BF21E4">
      <w:pPr>
        <w:spacing w:after="0" w:line="480" w:lineRule="auto"/>
        <w:ind w:left="720"/>
      </w:pPr>
    </w:p>
    <w:p w14:paraId="56DB7F83" w14:textId="3DB7A027" w:rsidR="0080451E" w:rsidRDefault="0080451E" w:rsidP="00BF21E4">
      <w:pPr>
        <w:spacing w:after="0" w:line="480" w:lineRule="auto"/>
        <w:ind w:left="720"/>
      </w:pPr>
    </w:p>
    <w:p w14:paraId="4887D0A8" w14:textId="1D5CAABB" w:rsidR="0080451E" w:rsidRDefault="0080451E" w:rsidP="00BF21E4">
      <w:pPr>
        <w:spacing w:after="0" w:line="480" w:lineRule="auto"/>
        <w:ind w:left="720"/>
      </w:pPr>
    </w:p>
    <w:p w14:paraId="070E786A" w14:textId="512E41FD" w:rsidR="0080451E" w:rsidRDefault="0080451E" w:rsidP="00BF21E4">
      <w:pPr>
        <w:spacing w:after="0" w:line="480" w:lineRule="auto"/>
        <w:ind w:left="720"/>
      </w:pPr>
    </w:p>
    <w:p w14:paraId="76A66BB0" w14:textId="697E248A" w:rsidR="0080451E" w:rsidRDefault="0080451E" w:rsidP="00BF21E4">
      <w:pPr>
        <w:spacing w:after="0" w:line="480" w:lineRule="auto"/>
        <w:ind w:left="720"/>
      </w:pPr>
    </w:p>
    <w:p w14:paraId="274CA7AA" w14:textId="42C8DCF4" w:rsidR="0080451E" w:rsidRDefault="0080451E" w:rsidP="00BF21E4">
      <w:pPr>
        <w:spacing w:after="0" w:line="480" w:lineRule="auto"/>
        <w:ind w:left="720"/>
      </w:pPr>
    </w:p>
    <w:p w14:paraId="2ED15F53" w14:textId="3142AF19" w:rsidR="0080451E" w:rsidRDefault="0080451E" w:rsidP="00BF21E4">
      <w:pPr>
        <w:spacing w:after="0" w:line="480" w:lineRule="auto"/>
        <w:ind w:left="720"/>
      </w:pPr>
    </w:p>
    <w:p w14:paraId="6644118B" w14:textId="5C61FBED" w:rsidR="0080451E" w:rsidRDefault="0080451E" w:rsidP="00BF21E4">
      <w:pPr>
        <w:spacing w:after="0" w:line="480" w:lineRule="auto"/>
        <w:ind w:left="720"/>
      </w:pPr>
    </w:p>
    <w:p w14:paraId="360AABA9" w14:textId="52682FD6" w:rsidR="0080451E" w:rsidRDefault="0080451E" w:rsidP="00BF21E4">
      <w:pPr>
        <w:spacing w:after="0" w:line="480" w:lineRule="auto"/>
        <w:ind w:left="720"/>
      </w:pPr>
    </w:p>
    <w:p w14:paraId="20BC034F" w14:textId="67D7BBFF" w:rsidR="0080451E" w:rsidRDefault="0080451E" w:rsidP="00BF21E4">
      <w:pPr>
        <w:spacing w:after="0" w:line="480" w:lineRule="auto"/>
        <w:ind w:left="720"/>
      </w:pPr>
    </w:p>
    <w:p w14:paraId="682B6710" w14:textId="77777777" w:rsidR="0080451E" w:rsidRDefault="0080451E" w:rsidP="0080451E">
      <w:pPr>
        <w:autoSpaceDE w:val="0"/>
        <w:autoSpaceDN w:val="0"/>
        <w:adjustRightInd w:val="0"/>
        <w:spacing w:after="0" w:line="240" w:lineRule="auto"/>
        <w:jc w:val="center"/>
        <w:rPr>
          <w:rFonts w:cs="Times New Roman"/>
          <w:b/>
          <w:bCs/>
          <w:color w:val="000000"/>
          <w:sz w:val="23"/>
          <w:szCs w:val="23"/>
        </w:rPr>
      </w:pPr>
      <w:r w:rsidRPr="00B43BB1">
        <w:rPr>
          <w:rFonts w:cs="Times New Roman"/>
          <w:b/>
          <w:bCs/>
          <w:color w:val="000000"/>
          <w:sz w:val="23"/>
          <w:szCs w:val="23"/>
        </w:rPr>
        <w:lastRenderedPageBreak/>
        <w:t>CERTIFICATE OF SERVICE</w:t>
      </w:r>
    </w:p>
    <w:p w14:paraId="641DB211" w14:textId="77777777" w:rsidR="0080451E" w:rsidRPr="000E0DB0" w:rsidRDefault="0080451E" w:rsidP="0080451E">
      <w:pPr>
        <w:autoSpaceDE w:val="0"/>
        <w:autoSpaceDN w:val="0"/>
        <w:adjustRightInd w:val="0"/>
        <w:spacing w:after="0" w:line="240" w:lineRule="auto"/>
        <w:jc w:val="center"/>
        <w:rPr>
          <w:rFonts w:cs="Times New Roman"/>
          <w:b/>
          <w:bCs/>
          <w:color w:val="000000"/>
          <w:sz w:val="6"/>
          <w:szCs w:val="6"/>
        </w:rPr>
      </w:pPr>
    </w:p>
    <w:p w14:paraId="62452D89" w14:textId="47392569" w:rsidR="0080451E" w:rsidRDefault="0080451E" w:rsidP="0080451E">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 </w:t>
      </w:r>
      <w:r>
        <w:rPr>
          <w:rFonts w:cs="Times New Roman"/>
          <w:color w:val="000000"/>
          <w:sz w:val="23"/>
          <w:szCs w:val="23"/>
        </w:rPr>
        <w:tab/>
      </w:r>
      <w:r w:rsidRPr="00B43BB1">
        <w:rPr>
          <w:rFonts w:cs="Times New Roman"/>
          <w:color w:val="000000"/>
          <w:sz w:val="23"/>
          <w:szCs w:val="23"/>
        </w:rPr>
        <w:t xml:space="preserve">I hereby certify that on </w:t>
      </w:r>
      <w:r>
        <w:rPr>
          <w:rFonts w:cs="Times New Roman"/>
          <w:color w:val="000000"/>
          <w:sz w:val="23"/>
          <w:szCs w:val="23"/>
        </w:rPr>
        <w:fldChar w:fldCharType="begin"/>
      </w:r>
      <w:r>
        <w:rPr>
          <w:rFonts w:cs="Times New Roman"/>
          <w:color w:val="000000"/>
          <w:sz w:val="23"/>
          <w:szCs w:val="23"/>
        </w:rPr>
        <w:instrText xml:space="preserve"> DATE \@ "MMMM d, yyyy" </w:instrText>
      </w:r>
      <w:r>
        <w:rPr>
          <w:rFonts w:cs="Times New Roman"/>
          <w:color w:val="000000"/>
          <w:sz w:val="23"/>
          <w:szCs w:val="23"/>
        </w:rPr>
        <w:fldChar w:fldCharType="separate"/>
      </w:r>
      <w:r w:rsidR="00AA50AA">
        <w:rPr>
          <w:rFonts w:cs="Times New Roman"/>
          <w:noProof/>
          <w:color w:val="000000"/>
          <w:sz w:val="23"/>
          <w:szCs w:val="23"/>
        </w:rPr>
        <w:t>January 20, 2022</w:t>
      </w:r>
      <w:r>
        <w:rPr>
          <w:rFonts w:cs="Times New Roman"/>
          <w:color w:val="000000"/>
          <w:sz w:val="23"/>
          <w:szCs w:val="23"/>
        </w:rPr>
        <w:fldChar w:fldCharType="end"/>
      </w:r>
      <w:r w:rsidRPr="00B43BB1">
        <w:rPr>
          <w:rFonts w:cs="Times New Roman"/>
          <w:color w:val="000000"/>
          <w:sz w:val="23"/>
          <w:szCs w:val="23"/>
        </w:rPr>
        <w:t xml:space="preserve">, a copy of the foregoing </w:t>
      </w:r>
      <w:r>
        <w:rPr>
          <w:rFonts w:cs="Times New Roman"/>
          <w:b/>
          <w:bCs/>
          <w:i/>
          <w:iCs/>
          <w:color w:val="000000"/>
          <w:sz w:val="23"/>
          <w:szCs w:val="23"/>
        </w:rPr>
        <w:t xml:space="preserve">Independent Petroleum Association of New Mexico Closing Arguments and Proposed Statement of Reasons </w:t>
      </w:r>
      <w:r w:rsidRPr="00B43BB1">
        <w:rPr>
          <w:rFonts w:cs="Times New Roman"/>
          <w:color w:val="000000"/>
          <w:sz w:val="23"/>
          <w:szCs w:val="23"/>
        </w:rPr>
        <w:t>was served via electronic mail on the following:</w:t>
      </w:r>
    </w:p>
    <w:p w14:paraId="12F0C82C" w14:textId="77777777" w:rsidR="0080451E" w:rsidRPr="00B43BB1" w:rsidRDefault="0080451E" w:rsidP="0080451E">
      <w:pPr>
        <w:autoSpaceDE w:val="0"/>
        <w:autoSpaceDN w:val="0"/>
        <w:adjustRightInd w:val="0"/>
        <w:spacing w:after="0" w:line="240" w:lineRule="auto"/>
        <w:jc w:val="center"/>
        <w:rPr>
          <w:rFonts w:cs="Times New Roman"/>
          <w:color w:val="000000"/>
          <w:sz w:val="23"/>
          <w:szCs w:val="23"/>
        </w:rPr>
      </w:pPr>
    </w:p>
    <w:tbl>
      <w:tblPr>
        <w:tblW w:w="12240" w:type="dxa"/>
        <w:tblInd w:w="-108" w:type="dxa"/>
        <w:tblBorders>
          <w:top w:val="nil"/>
          <w:left w:val="nil"/>
          <w:bottom w:val="nil"/>
          <w:right w:val="nil"/>
        </w:tblBorders>
        <w:tblLayout w:type="fixed"/>
        <w:tblLook w:val="0000" w:firstRow="0" w:lastRow="0" w:firstColumn="0" w:lastColumn="0" w:noHBand="0" w:noVBand="0"/>
      </w:tblPr>
      <w:tblGrid>
        <w:gridCol w:w="5148"/>
        <w:gridCol w:w="90"/>
        <w:gridCol w:w="5306"/>
        <w:gridCol w:w="1696"/>
      </w:tblGrid>
      <w:tr w:rsidR="0080451E" w:rsidRPr="00B43BB1" w14:paraId="2E99AF0A" w14:textId="77777777" w:rsidTr="009A251C">
        <w:trPr>
          <w:gridAfter w:val="1"/>
          <w:wAfter w:w="1696" w:type="dxa"/>
          <w:trHeight w:val="773"/>
        </w:trPr>
        <w:tc>
          <w:tcPr>
            <w:tcW w:w="5238" w:type="dxa"/>
            <w:gridSpan w:val="2"/>
          </w:tcPr>
          <w:p w14:paraId="3A3C0CF0" w14:textId="77777777" w:rsidR="0080451E" w:rsidRDefault="0080451E" w:rsidP="009A251C">
            <w:pPr>
              <w:autoSpaceDE w:val="0"/>
              <w:autoSpaceDN w:val="0"/>
              <w:adjustRightInd w:val="0"/>
              <w:spacing w:after="0" w:line="240" w:lineRule="auto"/>
              <w:rPr>
                <w:rFonts w:cs="Times New Roman"/>
                <w:color w:val="000000"/>
                <w:sz w:val="23"/>
                <w:szCs w:val="23"/>
              </w:rPr>
            </w:pPr>
          </w:p>
          <w:p w14:paraId="2CC91B92"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Pamela Jones, Hearing Administrator </w:t>
            </w:r>
          </w:p>
          <w:p w14:paraId="3A337559"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Environmental Improvement Board </w:t>
            </w:r>
          </w:p>
          <w:p w14:paraId="6329B1D8" w14:textId="77777777" w:rsidR="0080451E" w:rsidRDefault="00AA50AA" w:rsidP="009A251C">
            <w:pPr>
              <w:autoSpaceDE w:val="0"/>
              <w:autoSpaceDN w:val="0"/>
              <w:adjustRightInd w:val="0"/>
              <w:spacing w:after="0" w:line="240" w:lineRule="auto"/>
              <w:rPr>
                <w:rFonts w:cs="Times New Roman"/>
                <w:color w:val="0000FF"/>
                <w:sz w:val="23"/>
                <w:szCs w:val="23"/>
              </w:rPr>
            </w:pPr>
            <w:hyperlink r:id="rId14" w:history="1">
              <w:r w:rsidR="0080451E" w:rsidRPr="00B43BB1">
                <w:rPr>
                  <w:rStyle w:val="Hyperlink"/>
                  <w:rFonts w:cs="Times New Roman"/>
                  <w:sz w:val="23"/>
                  <w:szCs w:val="23"/>
                </w:rPr>
                <w:t>pamela.jones@state.nm.us</w:t>
              </w:r>
            </w:hyperlink>
          </w:p>
          <w:p w14:paraId="5198957E" w14:textId="77777777" w:rsidR="0080451E" w:rsidRPr="00FA7AE9" w:rsidRDefault="0080451E" w:rsidP="009A251C">
            <w:pPr>
              <w:autoSpaceDE w:val="0"/>
              <w:autoSpaceDN w:val="0"/>
              <w:adjustRightInd w:val="0"/>
              <w:spacing w:after="0" w:line="240" w:lineRule="auto"/>
              <w:rPr>
                <w:rFonts w:cs="Times New Roman"/>
                <w:i/>
                <w:iCs/>
                <w:sz w:val="23"/>
                <w:szCs w:val="23"/>
              </w:rPr>
            </w:pPr>
            <w:r w:rsidRPr="00B43BB1">
              <w:rPr>
                <w:rFonts w:cs="Times New Roman"/>
                <w:i/>
                <w:iCs/>
                <w:sz w:val="23"/>
                <w:szCs w:val="23"/>
              </w:rPr>
              <w:t xml:space="preserve">Administrator for the Environmental Improvement Board </w:t>
            </w:r>
          </w:p>
          <w:p w14:paraId="65ABDD6F"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c>
          <w:tcPr>
            <w:tcW w:w="5306" w:type="dxa"/>
          </w:tcPr>
          <w:p w14:paraId="0D5AE34A" w14:textId="77777777" w:rsidR="0080451E" w:rsidRDefault="0080451E" w:rsidP="009A251C">
            <w:pPr>
              <w:autoSpaceDE w:val="0"/>
              <w:autoSpaceDN w:val="0"/>
              <w:adjustRightInd w:val="0"/>
              <w:spacing w:after="0" w:line="240" w:lineRule="auto"/>
              <w:rPr>
                <w:rFonts w:cs="Times New Roman"/>
                <w:color w:val="000000"/>
                <w:sz w:val="23"/>
                <w:szCs w:val="23"/>
              </w:rPr>
            </w:pPr>
          </w:p>
          <w:p w14:paraId="72CE39F0"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Karla </w:t>
            </w:r>
            <w:proofErr w:type="spellStart"/>
            <w:r w:rsidRPr="00B43BB1">
              <w:rPr>
                <w:rFonts w:cs="Times New Roman"/>
                <w:color w:val="000000"/>
                <w:sz w:val="23"/>
                <w:szCs w:val="23"/>
              </w:rPr>
              <w:t>Soloria</w:t>
            </w:r>
            <w:proofErr w:type="spellEnd"/>
            <w:r w:rsidRPr="00B43BB1">
              <w:rPr>
                <w:rFonts w:cs="Times New Roman"/>
                <w:color w:val="000000"/>
                <w:sz w:val="23"/>
                <w:szCs w:val="23"/>
              </w:rPr>
              <w:t xml:space="preserve"> </w:t>
            </w:r>
          </w:p>
          <w:p w14:paraId="6C91A4E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New Mexico Office of the Attorney General </w:t>
            </w:r>
          </w:p>
          <w:p w14:paraId="2A6FD702" w14:textId="77777777" w:rsidR="0080451E" w:rsidRDefault="00AA50AA" w:rsidP="009A251C">
            <w:pPr>
              <w:autoSpaceDE w:val="0"/>
              <w:autoSpaceDN w:val="0"/>
              <w:adjustRightInd w:val="0"/>
              <w:spacing w:after="0" w:line="240" w:lineRule="auto"/>
              <w:rPr>
                <w:rFonts w:cs="Times New Roman"/>
                <w:color w:val="0000FF"/>
                <w:sz w:val="23"/>
                <w:szCs w:val="23"/>
              </w:rPr>
            </w:pPr>
            <w:hyperlink r:id="rId15" w:history="1">
              <w:r w:rsidR="0080451E" w:rsidRPr="00B43BB1">
                <w:rPr>
                  <w:rStyle w:val="Hyperlink"/>
                  <w:rFonts w:cs="Times New Roman"/>
                  <w:sz w:val="23"/>
                  <w:szCs w:val="23"/>
                </w:rPr>
                <w:t>ksoloria@nmag.gov</w:t>
              </w:r>
            </w:hyperlink>
          </w:p>
          <w:p w14:paraId="1F983E4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i/>
                <w:iCs/>
                <w:color w:val="000000"/>
                <w:sz w:val="23"/>
                <w:szCs w:val="23"/>
              </w:rPr>
              <w:t xml:space="preserve">Counsel for the Environmental Improvement Board </w:t>
            </w:r>
          </w:p>
        </w:tc>
      </w:tr>
      <w:tr w:rsidR="0080451E" w:rsidRPr="00B43BB1" w14:paraId="54136982" w14:textId="77777777" w:rsidTr="009A251C">
        <w:trPr>
          <w:gridAfter w:val="1"/>
          <w:wAfter w:w="1696" w:type="dxa"/>
          <w:trHeight w:val="1739"/>
        </w:trPr>
        <w:tc>
          <w:tcPr>
            <w:tcW w:w="5238" w:type="dxa"/>
            <w:gridSpan w:val="2"/>
          </w:tcPr>
          <w:p w14:paraId="58DCE188"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Tannis</w:t>
            </w:r>
            <w:proofErr w:type="spellEnd"/>
            <w:r w:rsidRPr="00B43BB1">
              <w:rPr>
                <w:rFonts w:cs="Times New Roman"/>
                <w:color w:val="000000"/>
                <w:sz w:val="23"/>
                <w:szCs w:val="23"/>
              </w:rPr>
              <w:t xml:space="preserve"> Fox </w:t>
            </w:r>
          </w:p>
          <w:p w14:paraId="2CC50283"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Western Environmental Law Center </w:t>
            </w:r>
          </w:p>
          <w:p w14:paraId="1CFE28D8" w14:textId="77777777" w:rsidR="0080451E" w:rsidRDefault="00AA50AA" w:rsidP="009A251C">
            <w:pPr>
              <w:autoSpaceDE w:val="0"/>
              <w:autoSpaceDN w:val="0"/>
              <w:adjustRightInd w:val="0"/>
              <w:spacing w:after="0" w:line="240" w:lineRule="auto"/>
              <w:rPr>
                <w:rFonts w:cs="Times New Roman"/>
                <w:color w:val="0000FF"/>
                <w:sz w:val="23"/>
                <w:szCs w:val="23"/>
              </w:rPr>
            </w:pPr>
            <w:hyperlink r:id="rId16" w:history="1">
              <w:r w:rsidR="0080451E" w:rsidRPr="00B43BB1">
                <w:rPr>
                  <w:rStyle w:val="Hyperlink"/>
                  <w:rFonts w:cs="Times New Roman"/>
                  <w:sz w:val="23"/>
                  <w:szCs w:val="23"/>
                </w:rPr>
                <w:t>fox@westemlaw.org</w:t>
              </w:r>
            </w:hyperlink>
          </w:p>
          <w:p w14:paraId="5D71A45C" w14:textId="77777777" w:rsidR="0080451E" w:rsidRDefault="0080451E" w:rsidP="009A251C">
            <w:pPr>
              <w:autoSpaceDE w:val="0"/>
              <w:autoSpaceDN w:val="0"/>
              <w:adjustRightInd w:val="0"/>
              <w:spacing w:after="0" w:line="240" w:lineRule="auto"/>
              <w:rPr>
                <w:rFonts w:cs="Times New Roman"/>
                <w:color w:val="000000"/>
                <w:sz w:val="23"/>
                <w:szCs w:val="23"/>
              </w:rPr>
            </w:pPr>
          </w:p>
          <w:p w14:paraId="6BBB389B"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David R. </w:t>
            </w:r>
            <w:proofErr w:type="spellStart"/>
            <w:r w:rsidRPr="00B43BB1">
              <w:rPr>
                <w:rFonts w:cs="Times New Roman"/>
                <w:color w:val="000000"/>
                <w:sz w:val="23"/>
                <w:szCs w:val="23"/>
              </w:rPr>
              <w:t>Baake</w:t>
            </w:r>
            <w:proofErr w:type="spellEnd"/>
            <w:r w:rsidRPr="00B43BB1">
              <w:rPr>
                <w:rFonts w:cs="Times New Roman"/>
                <w:color w:val="000000"/>
                <w:sz w:val="23"/>
                <w:szCs w:val="23"/>
              </w:rPr>
              <w:t xml:space="preserve"> </w:t>
            </w:r>
          </w:p>
          <w:p w14:paraId="087794B0"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Baake</w:t>
            </w:r>
            <w:proofErr w:type="spellEnd"/>
            <w:r w:rsidRPr="00B43BB1">
              <w:rPr>
                <w:rFonts w:cs="Times New Roman"/>
                <w:color w:val="000000"/>
                <w:sz w:val="23"/>
                <w:szCs w:val="23"/>
              </w:rPr>
              <w:t xml:space="preserve"> Law LLC </w:t>
            </w:r>
          </w:p>
          <w:p w14:paraId="6E8FD982" w14:textId="77777777" w:rsidR="0080451E" w:rsidRDefault="00AA50AA" w:rsidP="009A251C">
            <w:pPr>
              <w:autoSpaceDE w:val="0"/>
              <w:autoSpaceDN w:val="0"/>
              <w:adjustRightInd w:val="0"/>
              <w:spacing w:after="0" w:line="240" w:lineRule="auto"/>
              <w:rPr>
                <w:rFonts w:cs="Times New Roman"/>
                <w:color w:val="0000FF"/>
                <w:sz w:val="23"/>
                <w:szCs w:val="23"/>
              </w:rPr>
            </w:pPr>
            <w:hyperlink r:id="rId17" w:history="1">
              <w:r w:rsidR="0080451E" w:rsidRPr="00B43BB1">
                <w:rPr>
                  <w:rStyle w:val="Hyperlink"/>
                  <w:rFonts w:cs="Times New Roman"/>
                  <w:sz w:val="23"/>
                  <w:szCs w:val="23"/>
                </w:rPr>
                <w:t>david@baakelaw.com</w:t>
              </w:r>
            </w:hyperlink>
          </w:p>
          <w:p w14:paraId="1F984B90" w14:textId="77777777" w:rsidR="0080451E"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Attorneys for Conservation Voters New Mexico, Dine C.A.R.E., Earthworks, Natural Resources Defense Council, San Juan Citizens Alliance, Sierra Club, and 350 New Mexico</w:t>
            </w:r>
          </w:p>
          <w:p w14:paraId="30978631"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i/>
                <w:iCs/>
                <w:color w:val="000000"/>
                <w:sz w:val="23"/>
                <w:szCs w:val="23"/>
              </w:rPr>
              <w:t xml:space="preserve"> </w:t>
            </w:r>
          </w:p>
        </w:tc>
        <w:tc>
          <w:tcPr>
            <w:tcW w:w="5306" w:type="dxa"/>
          </w:tcPr>
          <w:p w14:paraId="4003C617"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Ana Maria Gutierrez </w:t>
            </w:r>
          </w:p>
          <w:p w14:paraId="6BD33459"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Hogan Lovells US LLP </w:t>
            </w:r>
          </w:p>
          <w:p w14:paraId="208C2BED" w14:textId="77777777" w:rsidR="0080451E" w:rsidRDefault="00AA50AA" w:rsidP="009A251C">
            <w:pPr>
              <w:autoSpaceDE w:val="0"/>
              <w:autoSpaceDN w:val="0"/>
              <w:adjustRightInd w:val="0"/>
              <w:spacing w:after="0" w:line="240" w:lineRule="auto"/>
              <w:rPr>
                <w:rFonts w:cs="Times New Roman"/>
                <w:color w:val="0000FF"/>
                <w:sz w:val="23"/>
                <w:szCs w:val="23"/>
              </w:rPr>
            </w:pPr>
            <w:hyperlink r:id="rId18" w:history="1">
              <w:r w:rsidR="0080451E" w:rsidRPr="00B43BB1">
                <w:rPr>
                  <w:rStyle w:val="Hyperlink"/>
                  <w:rFonts w:cs="Times New Roman"/>
                  <w:sz w:val="23"/>
                  <w:szCs w:val="23"/>
                </w:rPr>
                <w:t>ana.gutierrez@hoganlovells.com</w:t>
              </w:r>
            </w:hyperlink>
          </w:p>
          <w:p w14:paraId="3C7DE4A9" w14:textId="77777777" w:rsidR="0080451E" w:rsidRPr="00B43BB1" w:rsidRDefault="0080451E" w:rsidP="009A251C">
            <w:pPr>
              <w:autoSpaceDE w:val="0"/>
              <w:autoSpaceDN w:val="0"/>
              <w:adjustRightInd w:val="0"/>
              <w:spacing w:after="0" w:line="240" w:lineRule="auto"/>
              <w:rPr>
                <w:rFonts w:cs="Times New Roman"/>
                <w:color w:val="0000FF"/>
                <w:sz w:val="23"/>
                <w:szCs w:val="23"/>
              </w:rPr>
            </w:pPr>
            <w:r w:rsidRPr="00B43BB1">
              <w:rPr>
                <w:rFonts w:cs="Times New Roman"/>
                <w:color w:val="0000FF"/>
                <w:sz w:val="23"/>
                <w:szCs w:val="23"/>
              </w:rPr>
              <w:t xml:space="preserve"> </w:t>
            </w:r>
          </w:p>
          <w:p w14:paraId="44B9FEC3"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Sandra Milena McCarthy </w:t>
            </w:r>
          </w:p>
          <w:p w14:paraId="2E6F50BD"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Hogan Lovells US LLP </w:t>
            </w:r>
          </w:p>
          <w:p w14:paraId="7F792A96" w14:textId="77777777" w:rsidR="0080451E" w:rsidRDefault="00AA50AA" w:rsidP="009A251C">
            <w:pPr>
              <w:autoSpaceDE w:val="0"/>
              <w:autoSpaceDN w:val="0"/>
              <w:adjustRightInd w:val="0"/>
              <w:spacing w:after="0" w:line="240" w:lineRule="auto"/>
              <w:rPr>
                <w:rFonts w:cs="Times New Roman"/>
                <w:color w:val="0000FF"/>
                <w:sz w:val="23"/>
                <w:szCs w:val="23"/>
              </w:rPr>
            </w:pPr>
            <w:hyperlink r:id="rId19" w:history="1">
              <w:r w:rsidR="0080451E" w:rsidRPr="00B43BB1">
                <w:rPr>
                  <w:rStyle w:val="Hyperlink"/>
                  <w:rFonts w:cs="Times New Roman"/>
                  <w:sz w:val="23"/>
                  <w:szCs w:val="23"/>
                </w:rPr>
                <w:t>sandra.mccarthy@hoganlovells.com</w:t>
              </w:r>
            </w:hyperlink>
          </w:p>
          <w:p w14:paraId="6663CB14" w14:textId="77777777" w:rsidR="0080451E"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Attorneys for Kinder Morgan, Inc., El Paso Natural Gas Company, L.L.C., </w:t>
            </w:r>
            <w:proofErr w:type="spellStart"/>
            <w:r w:rsidRPr="00B43BB1">
              <w:rPr>
                <w:rFonts w:cs="Times New Roman"/>
                <w:i/>
                <w:iCs/>
                <w:color w:val="000000"/>
                <w:sz w:val="23"/>
                <w:szCs w:val="23"/>
              </w:rPr>
              <w:t>TransColorado</w:t>
            </w:r>
            <w:proofErr w:type="spellEnd"/>
            <w:r w:rsidRPr="00B43BB1">
              <w:rPr>
                <w:rFonts w:cs="Times New Roman"/>
                <w:i/>
                <w:iCs/>
                <w:color w:val="000000"/>
                <w:sz w:val="23"/>
                <w:szCs w:val="23"/>
              </w:rPr>
              <w:t xml:space="preserve"> Gas Transmission Co., LLC, and Natural Gas Pipeline Company of America, LLC </w:t>
            </w:r>
          </w:p>
          <w:p w14:paraId="1D72B195"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r>
      <w:tr w:rsidR="0080451E" w:rsidRPr="00B43BB1" w14:paraId="5CFBB2C5" w14:textId="77777777" w:rsidTr="009A251C">
        <w:trPr>
          <w:gridAfter w:val="1"/>
          <w:wAfter w:w="1696" w:type="dxa"/>
          <w:trHeight w:val="2727"/>
        </w:trPr>
        <w:tc>
          <w:tcPr>
            <w:tcW w:w="5238" w:type="dxa"/>
            <w:gridSpan w:val="2"/>
          </w:tcPr>
          <w:p w14:paraId="07C38BE7"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Elizabeth </w:t>
            </w:r>
            <w:proofErr w:type="spellStart"/>
            <w:r w:rsidRPr="00B43BB1">
              <w:rPr>
                <w:rFonts w:cs="Times New Roman"/>
                <w:color w:val="000000"/>
                <w:sz w:val="23"/>
                <w:szCs w:val="23"/>
              </w:rPr>
              <w:t>deLone</w:t>
            </w:r>
            <w:proofErr w:type="spellEnd"/>
            <w:r w:rsidRPr="00B43BB1">
              <w:rPr>
                <w:rFonts w:cs="Times New Roman"/>
                <w:color w:val="000000"/>
                <w:sz w:val="23"/>
                <w:szCs w:val="23"/>
              </w:rPr>
              <w:t xml:space="preserve"> </w:t>
            </w:r>
            <w:proofErr w:type="spellStart"/>
            <w:r w:rsidRPr="00B43BB1">
              <w:rPr>
                <w:rFonts w:cs="Times New Roman"/>
                <w:color w:val="000000"/>
                <w:sz w:val="23"/>
                <w:szCs w:val="23"/>
              </w:rPr>
              <w:t>Paranhos</w:t>
            </w:r>
            <w:proofErr w:type="spellEnd"/>
            <w:r w:rsidRPr="00B43BB1">
              <w:rPr>
                <w:rFonts w:cs="Times New Roman"/>
                <w:color w:val="000000"/>
                <w:sz w:val="23"/>
                <w:szCs w:val="23"/>
              </w:rPr>
              <w:t xml:space="preserve"> </w:t>
            </w:r>
          </w:p>
          <w:p w14:paraId="73DAD111"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deLone</w:t>
            </w:r>
            <w:proofErr w:type="spellEnd"/>
            <w:r w:rsidRPr="00B43BB1">
              <w:rPr>
                <w:rFonts w:cs="Times New Roman"/>
                <w:color w:val="000000"/>
                <w:sz w:val="23"/>
                <w:szCs w:val="23"/>
              </w:rPr>
              <w:t xml:space="preserve"> Law Inc. </w:t>
            </w:r>
          </w:p>
          <w:p w14:paraId="2C936333" w14:textId="77777777" w:rsidR="0080451E" w:rsidRDefault="00AA50AA" w:rsidP="009A251C">
            <w:pPr>
              <w:autoSpaceDE w:val="0"/>
              <w:autoSpaceDN w:val="0"/>
              <w:adjustRightInd w:val="0"/>
              <w:spacing w:after="0" w:line="240" w:lineRule="auto"/>
              <w:rPr>
                <w:rFonts w:cs="Times New Roman"/>
                <w:color w:val="0000FF"/>
                <w:sz w:val="23"/>
                <w:szCs w:val="23"/>
              </w:rPr>
            </w:pPr>
            <w:hyperlink r:id="rId20" w:history="1">
              <w:r w:rsidR="0080451E" w:rsidRPr="00B43BB1">
                <w:rPr>
                  <w:rStyle w:val="Hyperlink"/>
                  <w:rFonts w:cs="Times New Roman"/>
                  <w:sz w:val="23"/>
                  <w:szCs w:val="23"/>
                </w:rPr>
                <w:t>elizabeth@delonelaw.com</w:t>
              </w:r>
            </w:hyperlink>
          </w:p>
          <w:p w14:paraId="2D517644" w14:textId="77777777" w:rsidR="0080451E"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Attorney for Environmental Defense Fund </w:t>
            </w:r>
          </w:p>
          <w:p w14:paraId="2932E745" w14:textId="77777777" w:rsidR="0080451E" w:rsidRDefault="0080451E" w:rsidP="009A251C">
            <w:pPr>
              <w:autoSpaceDE w:val="0"/>
              <w:autoSpaceDN w:val="0"/>
              <w:adjustRightInd w:val="0"/>
              <w:spacing w:after="0" w:line="240" w:lineRule="auto"/>
              <w:rPr>
                <w:rFonts w:cs="Times New Roman"/>
                <w:color w:val="000000"/>
                <w:sz w:val="23"/>
                <w:szCs w:val="23"/>
              </w:rPr>
            </w:pPr>
          </w:p>
          <w:p w14:paraId="20DF105E"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Eric L. </w:t>
            </w:r>
            <w:proofErr w:type="spellStart"/>
            <w:r w:rsidRPr="00B43BB1">
              <w:rPr>
                <w:rFonts w:cs="Times New Roman"/>
                <w:color w:val="000000"/>
                <w:sz w:val="23"/>
                <w:szCs w:val="23"/>
              </w:rPr>
              <w:t>Hiser</w:t>
            </w:r>
            <w:proofErr w:type="spellEnd"/>
            <w:r w:rsidRPr="00B43BB1">
              <w:rPr>
                <w:rFonts w:cs="Times New Roman"/>
                <w:color w:val="000000"/>
                <w:sz w:val="23"/>
                <w:szCs w:val="23"/>
              </w:rPr>
              <w:t xml:space="preserve"> </w:t>
            </w:r>
          </w:p>
          <w:p w14:paraId="2883B8DF"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Brandon Curtis </w:t>
            </w:r>
          </w:p>
          <w:p w14:paraId="60580ADE"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Hiser</w:t>
            </w:r>
            <w:proofErr w:type="spellEnd"/>
            <w:r w:rsidRPr="00B43BB1">
              <w:rPr>
                <w:rFonts w:cs="Times New Roman"/>
                <w:color w:val="000000"/>
                <w:sz w:val="23"/>
                <w:szCs w:val="23"/>
              </w:rPr>
              <w:t xml:space="preserve"> Joy </w:t>
            </w:r>
          </w:p>
          <w:p w14:paraId="2CA5C7E8" w14:textId="77777777" w:rsidR="0080451E" w:rsidRDefault="00AA50AA" w:rsidP="009A251C">
            <w:pPr>
              <w:autoSpaceDE w:val="0"/>
              <w:autoSpaceDN w:val="0"/>
              <w:adjustRightInd w:val="0"/>
              <w:spacing w:after="0" w:line="240" w:lineRule="auto"/>
              <w:rPr>
                <w:rFonts w:cs="Times New Roman"/>
                <w:color w:val="000000"/>
                <w:sz w:val="23"/>
                <w:szCs w:val="23"/>
              </w:rPr>
            </w:pPr>
            <w:hyperlink r:id="rId21" w:history="1">
              <w:r w:rsidR="0080451E" w:rsidRPr="00B43BB1">
                <w:rPr>
                  <w:rStyle w:val="Hyperlink"/>
                  <w:rFonts w:cs="Times New Roman"/>
                  <w:sz w:val="23"/>
                  <w:szCs w:val="23"/>
                </w:rPr>
                <w:t>ehiser@hiserjoy.com</w:t>
              </w:r>
            </w:hyperlink>
          </w:p>
          <w:p w14:paraId="6EF2E047" w14:textId="77777777" w:rsidR="0080451E" w:rsidRDefault="00AA50AA" w:rsidP="009A251C">
            <w:pPr>
              <w:autoSpaceDE w:val="0"/>
              <w:autoSpaceDN w:val="0"/>
              <w:adjustRightInd w:val="0"/>
              <w:spacing w:after="0" w:line="240" w:lineRule="auto"/>
              <w:rPr>
                <w:rFonts w:cs="Times New Roman"/>
                <w:color w:val="000000"/>
                <w:sz w:val="23"/>
                <w:szCs w:val="23"/>
              </w:rPr>
            </w:pPr>
            <w:hyperlink r:id="rId22" w:history="1">
              <w:r w:rsidR="0080451E" w:rsidRPr="00B43BB1">
                <w:rPr>
                  <w:rStyle w:val="Hyperlink"/>
                  <w:rFonts w:cs="Times New Roman"/>
                  <w:sz w:val="23"/>
                  <w:szCs w:val="23"/>
                </w:rPr>
                <w:t>bcurtis@hiserjoy.com</w:t>
              </w:r>
            </w:hyperlink>
          </w:p>
          <w:p w14:paraId="7692EB31"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c>
          <w:tcPr>
            <w:tcW w:w="5306" w:type="dxa"/>
          </w:tcPr>
          <w:p w14:paraId="7D55AA1D"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Lara Katz, Assistant General Counsel </w:t>
            </w:r>
          </w:p>
          <w:p w14:paraId="5A6C095A"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Office of General Counsel </w:t>
            </w:r>
          </w:p>
          <w:p w14:paraId="7DAFB468" w14:textId="77777777" w:rsidR="0080451E" w:rsidRPr="00B43BB1"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New Mexico Environment Department </w:t>
            </w:r>
          </w:p>
          <w:p w14:paraId="58A8FD81" w14:textId="77777777" w:rsidR="0080451E" w:rsidRDefault="00AA50AA" w:rsidP="009A251C">
            <w:pPr>
              <w:autoSpaceDE w:val="0"/>
              <w:autoSpaceDN w:val="0"/>
              <w:adjustRightInd w:val="0"/>
              <w:spacing w:after="0" w:line="240" w:lineRule="auto"/>
              <w:rPr>
                <w:rFonts w:cs="Times New Roman"/>
                <w:color w:val="0000FF"/>
                <w:sz w:val="23"/>
                <w:szCs w:val="23"/>
              </w:rPr>
            </w:pPr>
            <w:hyperlink r:id="rId23" w:history="1">
              <w:r w:rsidR="0080451E" w:rsidRPr="00B43BB1">
                <w:rPr>
                  <w:rStyle w:val="Hyperlink"/>
                  <w:rFonts w:cs="Times New Roman"/>
                  <w:sz w:val="23"/>
                  <w:szCs w:val="23"/>
                </w:rPr>
                <w:t>lara.katz@state.nm.us</w:t>
              </w:r>
            </w:hyperlink>
          </w:p>
          <w:p w14:paraId="6612244A" w14:textId="77777777" w:rsidR="0080451E" w:rsidRDefault="0080451E" w:rsidP="009A251C">
            <w:pPr>
              <w:autoSpaceDE w:val="0"/>
              <w:autoSpaceDN w:val="0"/>
              <w:adjustRightInd w:val="0"/>
              <w:spacing w:after="0" w:line="240" w:lineRule="auto"/>
              <w:rPr>
                <w:rFonts w:cs="Times New Roman"/>
                <w:color w:val="0000FF"/>
                <w:sz w:val="23"/>
                <w:szCs w:val="23"/>
              </w:rPr>
            </w:pPr>
          </w:p>
          <w:p w14:paraId="61071056"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Andrew P. Knight </w:t>
            </w:r>
          </w:p>
          <w:p w14:paraId="670A8AD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Assistant General Counsel </w:t>
            </w:r>
          </w:p>
          <w:p w14:paraId="1A7CF42F" w14:textId="77777777" w:rsidR="0080451E" w:rsidRDefault="00AA50AA" w:rsidP="009A251C">
            <w:pPr>
              <w:autoSpaceDE w:val="0"/>
              <w:autoSpaceDN w:val="0"/>
              <w:adjustRightInd w:val="0"/>
              <w:spacing w:after="0" w:line="240" w:lineRule="auto"/>
              <w:rPr>
                <w:rFonts w:cs="Times New Roman"/>
                <w:color w:val="0000FF"/>
                <w:sz w:val="23"/>
                <w:szCs w:val="23"/>
              </w:rPr>
            </w:pPr>
            <w:hyperlink r:id="rId24" w:history="1">
              <w:r w:rsidR="0080451E" w:rsidRPr="00B43BB1">
                <w:rPr>
                  <w:rStyle w:val="Hyperlink"/>
                  <w:rFonts w:cs="Times New Roman"/>
                  <w:sz w:val="23"/>
                  <w:szCs w:val="23"/>
                </w:rPr>
                <w:t>andrew.knight@state.nm.us</w:t>
              </w:r>
            </w:hyperlink>
          </w:p>
          <w:p w14:paraId="46B06AA4" w14:textId="77777777" w:rsidR="0080451E"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Attorneys for the New Mexico Environment Department</w:t>
            </w:r>
          </w:p>
          <w:p w14:paraId="78F7FEED"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r>
      <w:tr w:rsidR="0080451E" w:rsidRPr="00B43BB1" w14:paraId="6C0A2043" w14:textId="77777777" w:rsidTr="009A251C">
        <w:trPr>
          <w:gridAfter w:val="1"/>
          <w:wAfter w:w="1696" w:type="dxa"/>
          <w:trHeight w:val="80"/>
        </w:trPr>
        <w:tc>
          <w:tcPr>
            <w:tcW w:w="5238" w:type="dxa"/>
            <w:gridSpan w:val="2"/>
            <w:tcBorders>
              <w:left w:val="nil"/>
            </w:tcBorders>
          </w:tcPr>
          <w:p w14:paraId="3F062654"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Dalva</w:t>
            </w:r>
            <w:proofErr w:type="spellEnd"/>
            <w:r w:rsidRPr="00B43BB1">
              <w:rPr>
                <w:rFonts w:cs="Times New Roman"/>
                <w:color w:val="000000"/>
                <w:sz w:val="23"/>
                <w:szCs w:val="23"/>
              </w:rPr>
              <w:t xml:space="preserve"> L. </w:t>
            </w:r>
            <w:proofErr w:type="spellStart"/>
            <w:r w:rsidRPr="00B43BB1">
              <w:rPr>
                <w:rFonts w:cs="Times New Roman"/>
                <w:color w:val="000000"/>
                <w:sz w:val="23"/>
                <w:szCs w:val="23"/>
              </w:rPr>
              <w:t>Moellenberg</w:t>
            </w:r>
            <w:proofErr w:type="spellEnd"/>
            <w:r w:rsidRPr="00B43BB1">
              <w:rPr>
                <w:rFonts w:cs="Times New Roman"/>
                <w:color w:val="000000"/>
                <w:sz w:val="23"/>
                <w:szCs w:val="23"/>
              </w:rPr>
              <w:t xml:space="preserve"> </w:t>
            </w:r>
          </w:p>
          <w:p w14:paraId="69F93A88"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Gallagher &amp; Kennedy, P.A. </w:t>
            </w:r>
          </w:p>
          <w:p w14:paraId="19476154" w14:textId="77777777" w:rsidR="0080451E" w:rsidRDefault="00AA50AA" w:rsidP="009A251C">
            <w:pPr>
              <w:autoSpaceDE w:val="0"/>
              <w:autoSpaceDN w:val="0"/>
              <w:adjustRightInd w:val="0"/>
              <w:spacing w:after="0" w:line="240" w:lineRule="auto"/>
              <w:rPr>
                <w:rFonts w:cs="Times New Roman"/>
                <w:color w:val="000000"/>
                <w:sz w:val="23"/>
                <w:szCs w:val="23"/>
              </w:rPr>
            </w:pPr>
            <w:hyperlink r:id="rId25" w:history="1">
              <w:r w:rsidR="0080451E" w:rsidRPr="00B43BB1">
                <w:rPr>
                  <w:rStyle w:val="Hyperlink"/>
                  <w:rFonts w:cs="Times New Roman"/>
                  <w:sz w:val="23"/>
                  <w:szCs w:val="23"/>
                </w:rPr>
                <w:t>DLM@gknet.com</w:t>
              </w:r>
            </w:hyperlink>
          </w:p>
          <w:p w14:paraId="626D98E6" w14:textId="77777777" w:rsidR="0080451E" w:rsidRDefault="0080451E" w:rsidP="009A251C">
            <w:pPr>
              <w:autoSpaceDE w:val="0"/>
              <w:autoSpaceDN w:val="0"/>
              <w:adjustRightInd w:val="0"/>
              <w:spacing w:after="0" w:line="240" w:lineRule="auto"/>
              <w:rPr>
                <w:rFonts w:cs="Times New Roman"/>
                <w:i/>
                <w:iCs/>
                <w:color w:val="000000"/>
                <w:sz w:val="23"/>
                <w:szCs w:val="23"/>
              </w:rPr>
            </w:pPr>
            <w:r>
              <w:rPr>
                <w:rFonts w:cs="Times New Roman"/>
                <w:i/>
                <w:iCs/>
                <w:color w:val="000000"/>
                <w:sz w:val="23"/>
                <w:szCs w:val="23"/>
              </w:rPr>
              <w:t>At</w:t>
            </w:r>
            <w:r w:rsidRPr="00B43BB1">
              <w:rPr>
                <w:rFonts w:cs="Times New Roman"/>
                <w:i/>
                <w:iCs/>
                <w:color w:val="000000"/>
                <w:sz w:val="23"/>
                <w:szCs w:val="23"/>
              </w:rPr>
              <w:t xml:space="preserve">torneys for NMOGA </w:t>
            </w:r>
          </w:p>
          <w:p w14:paraId="218F910A" w14:textId="77777777" w:rsidR="0080451E" w:rsidRDefault="0080451E" w:rsidP="009A251C">
            <w:pPr>
              <w:autoSpaceDE w:val="0"/>
              <w:autoSpaceDN w:val="0"/>
              <w:adjustRightInd w:val="0"/>
              <w:spacing w:after="0" w:line="240" w:lineRule="auto"/>
              <w:rPr>
                <w:rFonts w:cs="Times New Roman"/>
                <w:i/>
                <w:iCs/>
                <w:color w:val="000000"/>
                <w:sz w:val="23"/>
                <w:szCs w:val="23"/>
              </w:rPr>
            </w:pPr>
          </w:p>
          <w:p w14:paraId="1BBBEC2D"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Matthew A. Nykiel </w:t>
            </w:r>
          </w:p>
          <w:p w14:paraId="13602F06"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WildEarth</w:t>
            </w:r>
            <w:proofErr w:type="spellEnd"/>
            <w:r w:rsidRPr="00B43BB1">
              <w:rPr>
                <w:rFonts w:cs="Times New Roman"/>
                <w:color w:val="000000"/>
                <w:sz w:val="23"/>
                <w:szCs w:val="23"/>
              </w:rPr>
              <w:t xml:space="preserve"> Guardians </w:t>
            </w:r>
          </w:p>
          <w:p w14:paraId="6BF8C741" w14:textId="77777777" w:rsidR="0080451E" w:rsidRDefault="00AA50AA" w:rsidP="009A251C">
            <w:pPr>
              <w:autoSpaceDE w:val="0"/>
              <w:autoSpaceDN w:val="0"/>
              <w:adjustRightInd w:val="0"/>
              <w:spacing w:after="0" w:line="240" w:lineRule="auto"/>
              <w:rPr>
                <w:rFonts w:cs="Times New Roman"/>
                <w:color w:val="0000FF"/>
                <w:sz w:val="23"/>
                <w:szCs w:val="23"/>
              </w:rPr>
            </w:pPr>
            <w:hyperlink r:id="rId26" w:history="1">
              <w:r w:rsidR="0080451E" w:rsidRPr="00B43BB1">
                <w:rPr>
                  <w:rStyle w:val="Hyperlink"/>
                  <w:rFonts w:cs="Times New Roman"/>
                  <w:sz w:val="23"/>
                  <w:szCs w:val="23"/>
                </w:rPr>
                <w:t>mnykiel@wildearthguardians.org</w:t>
              </w:r>
            </w:hyperlink>
          </w:p>
          <w:p w14:paraId="4200ECCB"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Daniel L. Timmons </w:t>
            </w:r>
          </w:p>
          <w:p w14:paraId="3888FC0B"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WildEarth</w:t>
            </w:r>
            <w:proofErr w:type="spellEnd"/>
            <w:r w:rsidRPr="00B43BB1">
              <w:rPr>
                <w:rFonts w:cs="Times New Roman"/>
                <w:color w:val="000000"/>
                <w:sz w:val="23"/>
                <w:szCs w:val="23"/>
              </w:rPr>
              <w:t xml:space="preserve"> Guardians </w:t>
            </w:r>
          </w:p>
          <w:p w14:paraId="7A39F2BB" w14:textId="77777777" w:rsidR="0080451E" w:rsidRDefault="00AA50AA" w:rsidP="009A251C">
            <w:pPr>
              <w:autoSpaceDE w:val="0"/>
              <w:autoSpaceDN w:val="0"/>
              <w:adjustRightInd w:val="0"/>
              <w:spacing w:after="0" w:line="240" w:lineRule="auto"/>
              <w:rPr>
                <w:rFonts w:cs="Times New Roman"/>
                <w:color w:val="0000FF"/>
                <w:sz w:val="23"/>
                <w:szCs w:val="23"/>
              </w:rPr>
            </w:pPr>
            <w:hyperlink r:id="rId27" w:history="1">
              <w:r w:rsidR="0080451E" w:rsidRPr="00B43BB1">
                <w:rPr>
                  <w:rStyle w:val="Hyperlink"/>
                  <w:rFonts w:cs="Times New Roman"/>
                  <w:sz w:val="23"/>
                  <w:szCs w:val="23"/>
                </w:rPr>
                <w:t>dtimmons@wildearthguardians.org</w:t>
              </w:r>
            </w:hyperlink>
          </w:p>
          <w:p w14:paraId="1C21EDBE" w14:textId="77777777" w:rsidR="0080451E" w:rsidRPr="004A3B14" w:rsidRDefault="0080451E" w:rsidP="009A251C">
            <w:pPr>
              <w:autoSpaceDE w:val="0"/>
              <w:autoSpaceDN w:val="0"/>
              <w:adjustRightInd w:val="0"/>
              <w:spacing w:after="0" w:line="240" w:lineRule="auto"/>
              <w:rPr>
                <w:rFonts w:cs="Times New Roman"/>
                <w:i/>
                <w:iCs/>
                <w:sz w:val="23"/>
                <w:szCs w:val="23"/>
              </w:rPr>
            </w:pPr>
            <w:r w:rsidRPr="004A3B14">
              <w:rPr>
                <w:rFonts w:cs="Times New Roman"/>
                <w:i/>
                <w:iCs/>
                <w:sz w:val="23"/>
                <w:szCs w:val="23"/>
              </w:rPr>
              <w:t xml:space="preserve">Attorneys for </w:t>
            </w:r>
            <w:proofErr w:type="spellStart"/>
            <w:r w:rsidRPr="004A3B14">
              <w:rPr>
                <w:rFonts w:cs="Times New Roman"/>
                <w:i/>
                <w:iCs/>
                <w:sz w:val="23"/>
                <w:szCs w:val="23"/>
              </w:rPr>
              <w:t>WildEarth</w:t>
            </w:r>
            <w:proofErr w:type="spellEnd"/>
            <w:r w:rsidRPr="004A3B14">
              <w:rPr>
                <w:rFonts w:cs="Times New Roman"/>
                <w:i/>
                <w:iCs/>
                <w:sz w:val="23"/>
                <w:szCs w:val="23"/>
              </w:rPr>
              <w:t xml:space="preserve"> Guardians</w:t>
            </w:r>
          </w:p>
          <w:p w14:paraId="5CAA4499" w14:textId="77777777" w:rsidR="0080451E" w:rsidRPr="00B43BB1" w:rsidRDefault="0080451E" w:rsidP="009A251C">
            <w:pPr>
              <w:autoSpaceDE w:val="0"/>
              <w:autoSpaceDN w:val="0"/>
              <w:adjustRightInd w:val="0"/>
              <w:spacing w:after="0" w:line="240" w:lineRule="auto"/>
              <w:rPr>
                <w:rFonts w:cs="Times New Roman"/>
                <w:i/>
                <w:iCs/>
                <w:color w:val="000000"/>
                <w:sz w:val="23"/>
                <w:szCs w:val="23"/>
              </w:rPr>
            </w:pPr>
          </w:p>
        </w:tc>
        <w:tc>
          <w:tcPr>
            <w:tcW w:w="5306" w:type="dxa"/>
            <w:tcBorders>
              <w:right w:val="nil"/>
            </w:tcBorders>
          </w:tcPr>
          <w:p w14:paraId="0B1692BA"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J. Scott Janoe </w:t>
            </w:r>
          </w:p>
          <w:p w14:paraId="7C07A7AF"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Baker Botts L.L.P. </w:t>
            </w:r>
          </w:p>
          <w:p w14:paraId="4CB8D4AB" w14:textId="77777777" w:rsidR="0080451E" w:rsidRDefault="00AA50AA" w:rsidP="009A251C">
            <w:pPr>
              <w:autoSpaceDE w:val="0"/>
              <w:autoSpaceDN w:val="0"/>
              <w:adjustRightInd w:val="0"/>
              <w:spacing w:after="0" w:line="240" w:lineRule="auto"/>
              <w:rPr>
                <w:rFonts w:cs="Times New Roman"/>
                <w:color w:val="000000"/>
                <w:sz w:val="23"/>
                <w:szCs w:val="23"/>
              </w:rPr>
            </w:pPr>
            <w:hyperlink r:id="rId28" w:history="1">
              <w:r w:rsidR="0080451E" w:rsidRPr="00B43BB1">
                <w:rPr>
                  <w:rStyle w:val="Hyperlink"/>
                  <w:rFonts w:cs="Times New Roman"/>
                  <w:sz w:val="23"/>
                  <w:szCs w:val="23"/>
                </w:rPr>
                <w:t>scott.janoe@bakerbotts.com</w:t>
              </w:r>
            </w:hyperlink>
          </w:p>
          <w:p w14:paraId="69C373C5" w14:textId="77777777" w:rsidR="0080451E" w:rsidRPr="00B43BB1"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Attorney for Oxy USA Inc. </w:t>
            </w:r>
          </w:p>
          <w:p w14:paraId="0A3D29A2"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p w14:paraId="6772CFE4"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Charles de </w:t>
            </w:r>
            <w:proofErr w:type="spellStart"/>
            <w:r w:rsidRPr="00B43BB1">
              <w:rPr>
                <w:rFonts w:cs="Times New Roman"/>
                <w:color w:val="000000"/>
                <w:sz w:val="23"/>
                <w:szCs w:val="23"/>
              </w:rPr>
              <w:t>Saillan</w:t>
            </w:r>
            <w:proofErr w:type="spellEnd"/>
            <w:r w:rsidRPr="00B43BB1">
              <w:rPr>
                <w:rFonts w:cs="Times New Roman"/>
                <w:color w:val="000000"/>
                <w:sz w:val="23"/>
                <w:szCs w:val="23"/>
              </w:rPr>
              <w:t xml:space="preserve"> </w:t>
            </w:r>
          </w:p>
          <w:p w14:paraId="3A9E45D4"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New Mexico Environmental Law Center </w:t>
            </w:r>
          </w:p>
          <w:p w14:paraId="64E9B459" w14:textId="77777777" w:rsidR="0080451E" w:rsidRDefault="00AA50AA" w:rsidP="009A251C">
            <w:pPr>
              <w:autoSpaceDE w:val="0"/>
              <w:autoSpaceDN w:val="0"/>
              <w:adjustRightInd w:val="0"/>
              <w:spacing w:after="0" w:line="240" w:lineRule="auto"/>
              <w:rPr>
                <w:rFonts w:cs="Times New Roman"/>
                <w:color w:val="000000"/>
                <w:sz w:val="23"/>
                <w:szCs w:val="23"/>
              </w:rPr>
            </w:pPr>
            <w:hyperlink r:id="rId29" w:history="1">
              <w:r w:rsidR="0080451E" w:rsidRPr="00B43BB1">
                <w:rPr>
                  <w:rStyle w:val="Hyperlink"/>
                  <w:rFonts w:cs="Times New Roman"/>
                  <w:sz w:val="23"/>
                  <w:szCs w:val="23"/>
                </w:rPr>
                <w:t>cdesaillan@nmelc.org</w:t>
              </w:r>
            </w:hyperlink>
          </w:p>
          <w:p w14:paraId="74B8AE78"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 </w:t>
            </w:r>
          </w:p>
        </w:tc>
      </w:tr>
      <w:tr w:rsidR="0080451E" w:rsidRPr="00B43BB1" w14:paraId="6EF38EE5" w14:textId="77777777" w:rsidTr="009A251C">
        <w:trPr>
          <w:gridAfter w:val="1"/>
          <w:wAfter w:w="1696" w:type="dxa"/>
          <w:trHeight w:val="80"/>
        </w:trPr>
        <w:tc>
          <w:tcPr>
            <w:tcW w:w="5238" w:type="dxa"/>
            <w:gridSpan w:val="2"/>
            <w:tcBorders>
              <w:left w:val="nil"/>
            </w:tcBorders>
          </w:tcPr>
          <w:p w14:paraId="5B848F1E"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c>
          <w:tcPr>
            <w:tcW w:w="5306" w:type="dxa"/>
            <w:tcBorders>
              <w:right w:val="nil"/>
            </w:tcBorders>
          </w:tcPr>
          <w:p w14:paraId="07735794"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r>
      <w:tr w:rsidR="0080451E" w:rsidRPr="00B43BB1" w14:paraId="0F2A5650" w14:textId="77777777" w:rsidTr="009A251C">
        <w:trPr>
          <w:gridAfter w:val="1"/>
          <w:wAfter w:w="1696" w:type="dxa"/>
          <w:trHeight w:val="1589"/>
        </w:trPr>
        <w:tc>
          <w:tcPr>
            <w:tcW w:w="5238" w:type="dxa"/>
            <w:gridSpan w:val="2"/>
            <w:tcBorders>
              <w:left w:val="nil"/>
            </w:tcBorders>
          </w:tcPr>
          <w:p w14:paraId="10BDE7FF"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Christopher J. Neumann </w:t>
            </w:r>
          </w:p>
          <w:p w14:paraId="6079DE67"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Gregory R. Tan </w:t>
            </w:r>
          </w:p>
          <w:p w14:paraId="3E55FB2C"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Casey </w:t>
            </w:r>
            <w:proofErr w:type="spellStart"/>
            <w:r w:rsidRPr="00B43BB1">
              <w:rPr>
                <w:rFonts w:cs="Times New Roman"/>
                <w:color w:val="000000"/>
                <w:sz w:val="23"/>
                <w:szCs w:val="23"/>
              </w:rPr>
              <w:t>Shpall</w:t>
            </w:r>
            <w:proofErr w:type="spellEnd"/>
            <w:r w:rsidRPr="00B43BB1">
              <w:rPr>
                <w:rFonts w:cs="Times New Roman"/>
                <w:color w:val="000000"/>
                <w:sz w:val="23"/>
                <w:szCs w:val="23"/>
              </w:rPr>
              <w:t xml:space="preserve"> </w:t>
            </w:r>
          </w:p>
          <w:p w14:paraId="03919417" w14:textId="77777777" w:rsidR="0080451E" w:rsidRPr="00B43BB1"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Greenberg Traurig, LLP </w:t>
            </w:r>
          </w:p>
          <w:p w14:paraId="02EAE650" w14:textId="77777777" w:rsidR="0080451E" w:rsidRDefault="00AA50AA" w:rsidP="009A251C">
            <w:pPr>
              <w:autoSpaceDE w:val="0"/>
              <w:autoSpaceDN w:val="0"/>
              <w:adjustRightInd w:val="0"/>
              <w:spacing w:after="0" w:line="240" w:lineRule="auto"/>
              <w:rPr>
                <w:rFonts w:cs="Times New Roman"/>
                <w:color w:val="000000"/>
                <w:sz w:val="23"/>
                <w:szCs w:val="23"/>
              </w:rPr>
            </w:pPr>
            <w:hyperlink r:id="rId30" w:history="1">
              <w:r w:rsidR="0080451E" w:rsidRPr="00B43BB1">
                <w:rPr>
                  <w:rStyle w:val="Hyperlink"/>
                  <w:rFonts w:cs="Times New Roman"/>
                  <w:sz w:val="23"/>
                  <w:szCs w:val="23"/>
                </w:rPr>
                <w:t>neumannc@gtlaw.com</w:t>
              </w:r>
            </w:hyperlink>
          </w:p>
          <w:p w14:paraId="08924822" w14:textId="77777777" w:rsidR="0080451E" w:rsidRDefault="00AA50AA" w:rsidP="009A251C">
            <w:pPr>
              <w:autoSpaceDE w:val="0"/>
              <w:autoSpaceDN w:val="0"/>
              <w:adjustRightInd w:val="0"/>
              <w:spacing w:after="0" w:line="240" w:lineRule="auto"/>
              <w:rPr>
                <w:rFonts w:cs="Times New Roman"/>
                <w:color w:val="000000"/>
                <w:sz w:val="23"/>
                <w:szCs w:val="23"/>
              </w:rPr>
            </w:pPr>
            <w:hyperlink r:id="rId31" w:history="1">
              <w:r w:rsidR="0080451E" w:rsidRPr="00B43BB1">
                <w:rPr>
                  <w:rStyle w:val="Hyperlink"/>
                  <w:rFonts w:cs="Times New Roman"/>
                  <w:sz w:val="23"/>
                  <w:szCs w:val="23"/>
                </w:rPr>
                <w:t>tangr@gtlaw.com</w:t>
              </w:r>
            </w:hyperlink>
          </w:p>
          <w:p w14:paraId="6EE5F540" w14:textId="77777777" w:rsidR="0080451E" w:rsidRDefault="00AA50AA" w:rsidP="009A251C">
            <w:pPr>
              <w:autoSpaceDE w:val="0"/>
              <w:autoSpaceDN w:val="0"/>
              <w:adjustRightInd w:val="0"/>
              <w:spacing w:after="0" w:line="240" w:lineRule="auto"/>
              <w:rPr>
                <w:rFonts w:cs="Times New Roman"/>
                <w:color w:val="000000"/>
                <w:sz w:val="23"/>
                <w:szCs w:val="23"/>
              </w:rPr>
            </w:pPr>
            <w:hyperlink r:id="rId32" w:history="1">
              <w:r w:rsidR="0080451E" w:rsidRPr="00B43BB1">
                <w:rPr>
                  <w:rStyle w:val="Hyperlink"/>
                  <w:rFonts w:cs="Times New Roman"/>
                  <w:sz w:val="23"/>
                  <w:szCs w:val="23"/>
                </w:rPr>
                <w:t>shpallc@gtlaw.com</w:t>
              </w:r>
            </w:hyperlink>
          </w:p>
          <w:p w14:paraId="06FE923A" w14:textId="77777777" w:rsidR="0080451E" w:rsidRPr="00B43BB1"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i/>
                <w:iCs/>
                <w:color w:val="000000"/>
                <w:sz w:val="23"/>
                <w:szCs w:val="23"/>
              </w:rPr>
              <w:t xml:space="preserve">Attorneys for NGL Energy Partners LP; Solaris Water Midstream, LLC; OWL SWD Operating, LLC; and Goodnight Midstream, LLC </w:t>
            </w:r>
          </w:p>
          <w:p w14:paraId="6F3C7AAF" w14:textId="77777777" w:rsidR="0080451E" w:rsidRDefault="0080451E" w:rsidP="009A251C">
            <w:pPr>
              <w:autoSpaceDE w:val="0"/>
              <w:autoSpaceDN w:val="0"/>
              <w:adjustRightInd w:val="0"/>
              <w:spacing w:after="0" w:line="240" w:lineRule="auto"/>
              <w:rPr>
                <w:rFonts w:cs="Times New Roman"/>
                <w:color w:val="000000"/>
                <w:sz w:val="23"/>
                <w:szCs w:val="23"/>
              </w:rPr>
            </w:pPr>
          </w:p>
          <w:p w14:paraId="7E3B6D94"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Matthias L. Sayer </w:t>
            </w:r>
          </w:p>
          <w:p w14:paraId="48E7B71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NGL Energy Partners LP </w:t>
            </w:r>
          </w:p>
          <w:p w14:paraId="7C678541" w14:textId="77777777" w:rsidR="0080451E" w:rsidRDefault="00AA50AA" w:rsidP="009A251C">
            <w:pPr>
              <w:autoSpaceDE w:val="0"/>
              <w:autoSpaceDN w:val="0"/>
              <w:adjustRightInd w:val="0"/>
              <w:spacing w:after="0" w:line="240" w:lineRule="auto"/>
              <w:rPr>
                <w:rFonts w:cs="Times New Roman"/>
                <w:color w:val="000000"/>
                <w:sz w:val="23"/>
                <w:szCs w:val="23"/>
              </w:rPr>
            </w:pPr>
            <w:hyperlink r:id="rId33" w:history="1">
              <w:r w:rsidR="0080451E" w:rsidRPr="00B43BB1">
                <w:rPr>
                  <w:rStyle w:val="Hyperlink"/>
                  <w:rFonts w:cs="Times New Roman"/>
                  <w:sz w:val="23"/>
                  <w:szCs w:val="23"/>
                </w:rPr>
                <w:t>Matthias.Sayer@nglep.com</w:t>
              </w:r>
            </w:hyperlink>
          </w:p>
          <w:p w14:paraId="2A700CA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Attorney for NGL Energy Partners LP </w:t>
            </w:r>
          </w:p>
          <w:p w14:paraId="27A1DD80" w14:textId="77777777" w:rsidR="0080451E" w:rsidRDefault="0080451E" w:rsidP="009A251C">
            <w:pPr>
              <w:autoSpaceDE w:val="0"/>
              <w:autoSpaceDN w:val="0"/>
              <w:adjustRightInd w:val="0"/>
              <w:spacing w:after="0" w:line="240" w:lineRule="auto"/>
              <w:rPr>
                <w:rFonts w:cs="Times New Roman"/>
                <w:color w:val="000000"/>
                <w:sz w:val="23"/>
                <w:szCs w:val="23"/>
              </w:rPr>
            </w:pPr>
          </w:p>
          <w:p w14:paraId="07BB3CE3"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Christopher L. </w:t>
            </w:r>
            <w:proofErr w:type="spellStart"/>
            <w:r w:rsidRPr="00B43BB1">
              <w:rPr>
                <w:rFonts w:cs="Times New Roman"/>
                <w:color w:val="000000"/>
                <w:sz w:val="23"/>
                <w:szCs w:val="23"/>
              </w:rPr>
              <w:t>Colclasure</w:t>
            </w:r>
            <w:proofErr w:type="spellEnd"/>
            <w:r w:rsidRPr="00B43BB1">
              <w:rPr>
                <w:rFonts w:cs="Times New Roman"/>
                <w:color w:val="000000"/>
                <w:sz w:val="23"/>
                <w:szCs w:val="23"/>
              </w:rPr>
              <w:t xml:space="preserve"> </w:t>
            </w:r>
          </w:p>
          <w:p w14:paraId="351B8B96"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Beatty &amp; Wozniak, P.C. </w:t>
            </w:r>
          </w:p>
          <w:p w14:paraId="7CC6B907" w14:textId="77777777" w:rsidR="0080451E" w:rsidRDefault="00AA50AA" w:rsidP="009A251C">
            <w:pPr>
              <w:autoSpaceDE w:val="0"/>
              <w:autoSpaceDN w:val="0"/>
              <w:adjustRightInd w:val="0"/>
              <w:spacing w:after="0" w:line="240" w:lineRule="auto"/>
              <w:rPr>
                <w:rFonts w:cs="Times New Roman"/>
                <w:color w:val="000000"/>
                <w:sz w:val="23"/>
                <w:szCs w:val="23"/>
              </w:rPr>
            </w:pPr>
            <w:hyperlink r:id="rId34" w:history="1">
              <w:r w:rsidR="0080451E" w:rsidRPr="00B43BB1">
                <w:rPr>
                  <w:rStyle w:val="Hyperlink"/>
                  <w:rFonts w:cs="Times New Roman"/>
                  <w:sz w:val="23"/>
                  <w:szCs w:val="23"/>
                </w:rPr>
                <w:t>ccolclasure@bwenergylaw.com</w:t>
              </w:r>
            </w:hyperlink>
          </w:p>
          <w:p w14:paraId="6EB542F1" w14:textId="77777777" w:rsidR="0080451E"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Attorney for 3 Bear Energy, LLC </w:t>
            </w:r>
          </w:p>
          <w:p w14:paraId="3AD60C11" w14:textId="77777777" w:rsidR="0080451E" w:rsidRDefault="0080451E" w:rsidP="009A251C">
            <w:pPr>
              <w:autoSpaceDE w:val="0"/>
              <w:autoSpaceDN w:val="0"/>
              <w:adjustRightInd w:val="0"/>
              <w:spacing w:after="0" w:line="240" w:lineRule="auto"/>
              <w:rPr>
                <w:rFonts w:cs="Times New Roman"/>
                <w:color w:val="000000"/>
                <w:sz w:val="23"/>
                <w:szCs w:val="23"/>
              </w:rPr>
            </w:pPr>
          </w:p>
          <w:p w14:paraId="4099AD09"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Stuart R. </w:t>
            </w:r>
            <w:proofErr w:type="spellStart"/>
            <w:r w:rsidRPr="00B43BB1">
              <w:rPr>
                <w:rFonts w:cs="Times New Roman"/>
                <w:color w:val="000000"/>
                <w:sz w:val="23"/>
                <w:szCs w:val="23"/>
              </w:rPr>
              <w:t>Butzier</w:t>
            </w:r>
            <w:proofErr w:type="spellEnd"/>
            <w:r w:rsidRPr="00B43BB1">
              <w:rPr>
                <w:rFonts w:cs="Times New Roman"/>
                <w:color w:val="000000"/>
                <w:sz w:val="23"/>
                <w:szCs w:val="23"/>
              </w:rPr>
              <w:t xml:space="preserve"> </w:t>
            </w:r>
          </w:p>
          <w:p w14:paraId="62900956"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Christina C. Sheehan </w:t>
            </w:r>
          </w:p>
          <w:p w14:paraId="4AC304A1"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Modrall</w:t>
            </w:r>
            <w:proofErr w:type="spellEnd"/>
            <w:r w:rsidRPr="00B43BB1">
              <w:rPr>
                <w:rFonts w:cs="Times New Roman"/>
                <w:color w:val="000000"/>
                <w:sz w:val="23"/>
                <w:szCs w:val="23"/>
              </w:rPr>
              <w:t xml:space="preserve">, Sperling, Roehl, Harris &amp; Sisk, P.A. </w:t>
            </w:r>
          </w:p>
          <w:p w14:paraId="36956CE8" w14:textId="77777777" w:rsidR="0080451E" w:rsidRDefault="00AA50AA" w:rsidP="009A251C">
            <w:pPr>
              <w:autoSpaceDE w:val="0"/>
              <w:autoSpaceDN w:val="0"/>
              <w:adjustRightInd w:val="0"/>
              <w:spacing w:after="0" w:line="240" w:lineRule="auto"/>
              <w:rPr>
                <w:rFonts w:cs="Times New Roman"/>
                <w:color w:val="0000FF"/>
                <w:sz w:val="23"/>
                <w:szCs w:val="23"/>
              </w:rPr>
            </w:pPr>
            <w:hyperlink r:id="rId35" w:history="1">
              <w:r w:rsidR="0080451E" w:rsidRPr="00B43BB1">
                <w:rPr>
                  <w:rStyle w:val="Hyperlink"/>
                  <w:rFonts w:cs="Times New Roman"/>
                  <w:sz w:val="23"/>
                  <w:szCs w:val="23"/>
                </w:rPr>
                <w:t>srb@modrall.com</w:t>
              </w:r>
            </w:hyperlink>
          </w:p>
          <w:p w14:paraId="1D7FC0A6" w14:textId="77777777" w:rsidR="0080451E" w:rsidRDefault="00AA50AA" w:rsidP="009A251C">
            <w:pPr>
              <w:autoSpaceDE w:val="0"/>
              <w:autoSpaceDN w:val="0"/>
              <w:adjustRightInd w:val="0"/>
              <w:spacing w:after="0" w:line="240" w:lineRule="auto"/>
              <w:rPr>
                <w:rFonts w:cs="Times New Roman"/>
                <w:color w:val="0000FF"/>
                <w:sz w:val="23"/>
                <w:szCs w:val="23"/>
              </w:rPr>
            </w:pPr>
            <w:hyperlink r:id="rId36" w:history="1">
              <w:r w:rsidR="0080451E" w:rsidRPr="00B43BB1">
                <w:rPr>
                  <w:rStyle w:val="Hyperlink"/>
                  <w:rFonts w:cs="Times New Roman"/>
                  <w:sz w:val="23"/>
                  <w:szCs w:val="23"/>
                </w:rPr>
                <w:t>ccs@modrall.com</w:t>
              </w:r>
            </w:hyperlink>
          </w:p>
          <w:p w14:paraId="490E54E7"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i/>
                <w:iCs/>
                <w:color w:val="000000"/>
                <w:sz w:val="23"/>
                <w:szCs w:val="23"/>
              </w:rPr>
              <w:t>Attorneys for The Gas Compressor Association</w:t>
            </w:r>
          </w:p>
        </w:tc>
        <w:tc>
          <w:tcPr>
            <w:tcW w:w="5306" w:type="dxa"/>
            <w:tcBorders>
              <w:right w:val="nil"/>
            </w:tcBorders>
          </w:tcPr>
          <w:p w14:paraId="45DC0F63"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Daniel Jaynes, clinical law student </w:t>
            </w:r>
          </w:p>
          <w:p w14:paraId="26473144"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Keifer</w:t>
            </w:r>
            <w:proofErr w:type="spellEnd"/>
            <w:r w:rsidRPr="00B43BB1">
              <w:rPr>
                <w:rFonts w:cs="Times New Roman"/>
                <w:color w:val="000000"/>
                <w:sz w:val="23"/>
                <w:szCs w:val="23"/>
              </w:rPr>
              <w:t xml:space="preserve"> Johnson, clinical law student </w:t>
            </w:r>
          </w:p>
          <w:p w14:paraId="1439D18D"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Gabriel </w:t>
            </w:r>
            <w:proofErr w:type="spellStart"/>
            <w:r w:rsidRPr="00B43BB1">
              <w:rPr>
                <w:rFonts w:cs="Times New Roman"/>
                <w:color w:val="000000"/>
                <w:sz w:val="23"/>
                <w:szCs w:val="23"/>
              </w:rPr>
              <w:t>Pacyniak</w:t>
            </w:r>
            <w:proofErr w:type="spellEnd"/>
            <w:r w:rsidRPr="00B43BB1">
              <w:rPr>
                <w:rFonts w:cs="Times New Roman"/>
                <w:color w:val="000000"/>
                <w:sz w:val="23"/>
                <w:szCs w:val="23"/>
              </w:rPr>
              <w:t xml:space="preserve">, supervising attorney Natural Resources &amp; Environmental Law Clinic University of New Mexico </w:t>
            </w:r>
          </w:p>
          <w:p w14:paraId="0928CB85" w14:textId="77777777" w:rsidR="0080451E" w:rsidRDefault="00AA50AA" w:rsidP="009A251C">
            <w:pPr>
              <w:autoSpaceDE w:val="0"/>
              <w:autoSpaceDN w:val="0"/>
              <w:adjustRightInd w:val="0"/>
              <w:spacing w:after="0" w:line="240" w:lineRule="auto"/>
              <w:rPr>
                <w:rFonts w:cs="Times New Roman"/>
                <w:color w:val="000000"/>
                <w:sz w:val="23"/>
                <w:szCs w:val="23"/>
              </w:rPr>
            </w:pPr>
            <w:hyperlink r:id="rId37" w:history="1">
              <w:r w:rsidR="0080451E" w:rsidRPr="00B43BB1">
                <w:rPr>
                  <w:rStyle w:val="Hyperlink"/>
                  <w:rFonts w:cs="Times New Roman"/>
                  <w:sz w:val="23"/>
                  <w:szCs w:val="23"/>
                </w:rPr>
                <w:t>jaynesda@law.unm.edu</w:t>
              </w:r>
            </w:hyperlink>
            <w:r w:rsidR="0080451E" w:rsidRPr="00B43BB1">
              <w:rPr>
                <w:rFonts w:cs="Times New Roman"/>
                <w:color w:val="000000"/>
                <w:sz w:val="23"/>
                <w:szCs w:val="23"/>
              </w:rPr>
              <w:t xml:space="preserve"> </w:t>
            </w:r>
          </w:p>
          <w:p w14:paraId="7D1450C1" w14:textId="77777777" w:rsidR="0080451E" w:rsidRDefault="00AA50AA" w:rsidP="009A251C">
            <w:pPr>
              <w:autoSpaceDE w:val="0"/>
              <w:autoSpaceDN w:val="0"/>
              <w:adjustRightInd w:val="0"/>
              <w:spacing w:after="0" w:line="240" w:lineRule="auto"/>
              <w:rPr>
                <w:rFonts w:cs="Times New Roman"/>
                <w:color w:val="000000"/>
                <w:sz w:val="23"/>
                <w:szCs w:val="23"/>
              </w:rPr>
            </w:pPr>
            <w:hyperlink r:id="rId38" w:history="1">
              <w:r w:rsidR="0080451E" w:rsidRPr="00B43BB1">
                <w:rPr>
                  <w:rStyle w:val="Hyperlink"/>
                  <w:rFonts w:cs="Times New Roman"/>
                  <w:sz w:val="23"/>
                  <w:szCs w:val="23"/>
                </w:rPr>
                <w:t>johnsoke@law.unm.edu</w:t>
              </w:r>
            </w:hyperlink>
            <w:r w:rsidR="0080451E" w:rsidRPr="00B43BB1">
              <w:rPr>
                <w:rFonts w:cs="Times New Roman"/>
                <w:color w:val="000000"/>
                <w:sz w:val="23"/>
                <w:szCs w:val="23"/>
              </w:rPr>
              <w:t xml:space="preserve"> </w:t>
            </w:r>
          </w:p>
          <w:p w14:paraId="0F6AF919" w14:textId="77777777" w:rsidR="0080451E" w:rsidRDefault="00AA50AA" w:rsidP="009A251C">
            <w:pPr>
              <w:autoSpaceDE w:val="0"/>
              <w:autoSpaceDN w:val="0"/>
              <w:adjustRightInd w:val="0"/>
              <w:spacing w:after="0" w:line="240" w:lineRule="auto"/>
              <w:rPr>
                <w:rFonts w:cs="Times New Roman"/>
                <w:color w:val="000000"/>
                <w:sz w:val="23"/>
                <w:szCs w:val="23"/>
              </w:rPr>
            </w:pPr>
            <w:hyperlink r:id="rId39" w:history="1">
              <w:r w:rsidR="0080451E" w:rsidRPr="00B43BB1">
                <w:rPr>
                  <w:rStyle w:val="Hyperlink"/>
                  <w:rFonts w:cs="Times New Roman"/>
                  <w:sz w:val="23"/>
                  <w:szCs w:val="23"/>
                </w:rPr>
                <w:t>pacyniak@law.unm.edu</w:t>
              </w:r>
            </w:hyperlink>
          </w:p>
          <w:p w14:paraId="15E2E6A9" w14:textId="77777777" w:rsidR="0080451E" w:rsidRDefault="0080451E" w:rsidP="009A251C">
            <w:pPr>
              <w:autoSpaceDE w:val="0"/>
              <w:autoSpaceDN w:val="0"/>
              <w:adjustRightInd w:val="0"/>
              <w:spacing w:after="0" w:line="240" w:lineRule="auto"/>
              <w:rPr>
                <w:rFonts w:cs="Times New Roman"/>
                <w:i/>
                <w:iCs/>
                <w:color w:val="000000"/>
                <w:sz w:val="23"/>
                <w:szCs w:val="23"/>
              </w:rPr>
            </w:pPr>
            <w:r w:rsidRPr="00B43BB1">
              <w:rPr>
                <w:rFonts w:cs="Times New Roman"/>
                <w:color w:val="000000"/>
                <w:sz w:val="23"/>
                <w:szCs w:val="23"/>
              </w:rPr>
              <w:t xml:space="preserve"> </w:t>
            </w:r>
            <w:r w:rsidRPr="00B43BB1">
              <w:rPr>
                <w:rFonts w:cs="Times New Roman"/>
                <w:i/>
                <w:iCs/>
                <w:color w:val="000000"/>
                <w:sz w:val="23"/>
                <w:szCs w:val="23"/>
              </w:rPr>
              <w:t xml:space="preserve">Counsel for Center for Civic Policy and NAVA Education Project </w:t>
            </w:r>
          </w:p>
          <w:p w14:paraId="3CB7AC2C" w14:textId="77777777" w:rsidR="0080451E" w:rsidRDefault="0080451E" w:rsidP="009A251C">
            <w:pPr>
              <w:autoSpaceDE w:val="0"/>
              <w:autoSpaceDN w:val="0"/>
              <w:adjustRightInd w:val="0"/>
              <w:spacing w:after="0" w:line="240" w:lineRule="auto"/>
              <w:rPr>
                <w:rFonts w:cs="Times New Roman"/>
                <w:i/>
                <w:iCs/>
                <w:color w:val="000000"/>
                <w:sz w:val="23"/>
                <w:szCs w:val="23"/>
              </w:rPr>
            </w:pPr>
          </w:p>
          <w:p w14:paraId="6D54F876"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Jeffrey </w:t>
            </w:r>
            <w:proofErr w:type="spellStart"/>
            <w:r w:rsidRPr="00B43BB1">
              <w:rPr>
                <w:rFonts w:cs="Times New Roman"/>
                <w:color w:val="000000"/>
                <w:sz w:val="23"/>
                <w:szCs w:val="23"/>
              </w:rPr>
              <w:t>Holmstead</w:t>
            </w:r>
            <w:proofErr w:type="spellEnd"/>
            <w:r w:rsidRPr="00B43BB1">
              <w:rPr>
                <w:rFonts w:cs="Times New Roman"/>
                <w:color w:val="000000"/>
                <w:sz w:val="23"/>
                <w:szCs w:val="23"/>
              </w:rPr>
              <w:t xml:space="preserve"> </w:t>
            </w:r>
          </w:p>
          <w:p w14:paraId="6FCCB6F5" w14:textId="77777777" w:rsidR="0080451E" w:rsidRPr="00B43BB1" w:rsidRDefault="0080451E" w:rsidP="009A251C">
            <w:pPr>
              <w:autoSpaceDE w:val="0"/>
              <w:autoSpaceDN w:val="0"/>
              <w:adjustRightInd w:val="0"/>
              <w:spacing w:after="0" w:line="240" w:lineRule="auto"/>
              <w:rPr>
                <w:rFonts w:cs="Times New Roman"/>
                <w:color w:val="000000"/>
                <w:sz w:val="23"/>
                <w:szCs w:val="23"/>
              </w:rPr>
            </w:pPr>
            <w:proofErr w:type="spellStart"/>
            <w:r w:rsidRPr="00B43BB1">
              <w:rPr>
                <w:rFonts w:cs="Times New Roman"/>
                <w:color w:val="000000"/>
                <w:sz w:val="23"/>
                <w:szCs w:val="23"/>
              </w:rPr>
              <w:t>TimWilkins</w:t>
            </w:r>
            <w:proofErr w:type="spellEnd"/>
            <w:r w:rsidRPr="00B43BB1">
              <w:rPr>
                <w:rFonts w:cs="Times New Roman"/>
                <w:color w:val="000000"/>
                <w:sz w:val="23"/>
                <w:szCs w:val="23"/>
              </w:rPr>
              <w:t xml:space="preserve"> </w:t>
            </w:r>
          </w:p>
          <w:p w14:paraId="1B93CB05"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Whit Swift </w:t>
            </w:r>
          </w:p>
          <w:p w14:paraId="0FE03598"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Bracewell LLP </w:t>
            </w:r>
          </w:p>
          <w:p w14:paraId="2774B33B" w14:textId="77777777" w:rsidR="0080451E" w:rsidRDefault="00AA50AA" w:rsidP="009A251C">
            <w:pPr>
              <w:autoSpaceDE w:val="0"/>
              <w:autoSpaceDN w:val="0"/>
              <w:adjustRightInd w:val="0"/>
              <w:spacing w:after="0" w:line="240" w:lineRule="auto"/>
              <w:rPr>
                <w:rFonts w:cs="Times New Roman"/>
                <w:color w:val="0000FF"/>
                <w:sz w:val="23"/>
                <w:szCs w:val="23"/>
              </w:rPr>
            </w:pPr>
            <w:hyperlink r:id="rId40" w:history="1">
              <w:r w:rsidR="0080451E" w:rsidRPr="00B43BB1">
                <w:rPr>
                  <w:rStyle w:val="Hyperlink"/>
                  <w:rFonts w:cs="Times New Roman"/>
                  <w:sz w:val="23"/>
                  <w:szCs w:val="23"/>
                </w:rPr>
                <w:t>jeff.holmstead@bracewell.com</w:t>
              </w:r>
            </w:hyperlink>
          </w:p>
          <w:p w14:paraId="430C9BF3" w14:textId="77777777" w:rsidR="0080451E" w:rsidRDefault="00AA50AA" w:rsidP="009A251C">
            <w:pPr>
              <w:autoSpaceDE w:val="0"/>
              <w:autoSpaceDN w:val="0"/>
              <w:adjustRightInd w:val="0"/>
              <w:spacing w:after="0" w:line="240" w:lineRule="auto"/>
              <w:rPr>
                <w:rFonts w:cs="Times New Roman"/>
                <w:color w:val="0000FF"/>
                <w:sz w:val="23"/>
                <w:szCs w:val="23"/>
              </w:rPr>
            </w:pPr>
            <w:hyperlink r:id="rId41" w:history="1">
              <w:r w:rsidR="0080451E" w:rsidRPr="00B43BB1">
                <w:rPr>
                  <w:rStyle w:val="Hyperlink"/>
                  <w:rFonts w:cs="Times New Roman"/>
                  <w:sz w:val="23"/>
                  <w:szCs w:val="23"/>
                </w:rPr>
                <w:t>tim.wilkins@bracewell.com</w:t>
              </w:r>
            </w:hyperlink>
          </w:p>
          <w:p w14:paraId="55C797FC" w14:textId="77777777" w:rsidR="0080451E" w:rsidRDefault="00AA50AA" w:rsidP="009A251C">
            <w:pPr>
              <w:autoSpaceDE w:val="0"/>
              <w:autoSpaceDN w:val="0"/>
              <w:adjustRightInd w:val="0"/>
              <w:spacing w:after="0" w:line="240" w:lineRule="auto"/>
              <w:rPr>
                <w:rFonts w:cs="Times New Roman"/>
                <w:color w:val="0000FF"/>
                <w:sz w:val="23"/>
                <w:szCs w:val="23"/>
              </w:rPr>
            </w:pPr>
            <w:hyperlink r:id="rId42" w:history="1">
              <w:r w:rsidR="0080451E" w:rsidRPr="00B43BB1">
                <w:rPr>
                  <w:rStyle w:val="Hyperlink"/>
                  <w:rFonts w:cs="Times New Roman"/>
                  <w:sz w:val="23"/>
                  <w:szCs w:val="23"/>
                </w:rPr>
                <w:t>whit.swift@bracewell.com</w:t>
              </w:r>
            </w:hyperlink>
          </w:p>
          <w:p w14:paraId="651E8F2A" w14:textId="77777777" w:rsidR="0080451E" w:rsidRDefault="0080451E" w:rsidP="009A251C">
            <w:pPr>
              <w:autoSpaceDE w:val="0"/>
              <w:autoSpaceDN w:val="0"/>
              <w:adjustRightInd w:val="0"/>
              <w:spacing w:after="0" w:line="240" w:lineRule="auto"/>
              <w:rPr>
                <w:rFonts w:cs="Times New Roman"/>
                <w:color w:val="0000FF"/>
                <w:sz w:val="23"/>
                <w:szCs w:val="23"/>
              </w:rPr>
            </w:pPr>
          </w:p>
          <w:p w14:paraId="60671852" w14:textId="77777777" w:rsidR="0080451E" w:rsidRDefault="0080451E" w:rsidP="009A251C">
            <w:pPr>
              <w:autoSpaceDE w:val="0"/>
              <w:autoSpaceDN w:val="0"/>
              <w:adjustRightInd w:val="0"/>
              <w:spacing w:after="0" w:line="240" w:lineRule="auto"/>
              <w:rPr>
                <w:rFonts w:cs="Times New Roman"/>
                <w:color w:val="0000FF"/>
                <w:sz w:val="23"/>
                <w:szCs w:val="23"/>
              </w:rPr>
            </w:pPr>
          </w:p>
          <w:p w14:paraId="6E1CE85D"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Lisa Devore, Air Quality Specialist </w:t>
            </w:r>
          </w:p>
          <w:p w14:paraId="660B2B2C"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Intermountain Region </w:t>
            </w:r>
          </w:p>
          <w:p w14:paraId="55842CB2" w14:textId="77777777" w:rsidR="0080451E" w:rsidRDefault="00AA50AA" w:rsidP="009A251C">
            <w:pPr>
              <w:autoSpaceDE w:val="0"/>
              <w:autoSpaceDN w:val="0"/>
              <w:adjustRightInd w:val="0"/>
              <w:spacing w:after="0" w:line="240" w:lineRule="auto"/>
              <w:rPr>
                <w:rFonts w:cs="Times New Roman"/>
                <w:color w:val="0000FF"/>
                <w:sz w:val="23"/>
                <w:szCs w:val="23"/>
              </w:rPr>
            </w:pPr>
            <w:hyperlink r:id="rId43" w:history="1">
              <w:r w:rsidR="0080451E" w:rsidRPr="00B43BB1">
                <w:rPr>
                  <w:rStyle w:val="Hyperlink"/>
                  <w:rFonts w:cs="Times New Roman"/>
                  <w:sz w:val="23"/>
                  <w:szCs w:val="23"/>
                </w:rPr>
                <w:t>Lisa_devore@nps.gov</w:t>
              </w:r>
            </w:hyperlink>
          </w:p>
          <w:p w14:paraId="4AB39037"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John </w:t>
            </w:r>
            <w:proofErr w:type="spellStart"/>
            <w:r w:rsidRPr="00B43BB1">
              <w:rPr>
                <w:rFonts w:cs="Times New Roman"/>
                <w:color w:val="000000"/>
                <w:sz w:val="23"/>
                <w:szCs w:val="23"/>
              </w:rPr>
              <w:t>Vimont</w:t>
            </w:r>
            <w:proofErr w:type="spellEnd"/>
            <w:r w:rsidRPr="00B43BB1">
              <w:rPr>
                <w:rFonts w:cs="Times New Roman"/>
                <w:color w:val="000000"/>
                <w:sz w:val="23"/>
                <w:szCs w:val="23"/>
              </w:rPr>
              <w:t xml:space="preserve">, Branch Chief, </w:t>
            </w:r>
          </w:p>
          <w:p w14:paraId="65B068DE"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sidRPr="00B43BB1">
              <w:rPr>
                <w:rFonts w:cs="Times New Roman"/>
                <w:color w:val="000000"/>
                <w:sz w:val="23"/>
                <w:szCs w:val="23"/>
              </w:rPr>
              <w:t xml:space="preserve">Air Resources Division </w:t>
            </w:r>
          </w:p>
          <w:p w14:paraId="3BB3F327" w14:textId="77777777" w:rsidR="0080451E" w:rsidRDefault="00AA50AA" w:rsidP="009A251C">
            <w:pPr>
              <w:autoSpaceDE w:val="0"/>
              <w:autoSpaceDN w:val="0"/>
              <w:adjustRightInd w:val="0"/>
              <w:spacing w:after="0" w:line="240" w:lineRule="auto"/>
              <w:rPr>
                <w:rFonts w:cs="Times New Roman"/>
                <w:color w:val="0000FF"/>
                <w:sz w:val="23"/>
                <w:szCs w:val="23"/>
              </w:rPr>
            </w:pPr>
            <w:hyperlink r:id="rId44" w:history="1">
              <w:r w:rsidR="0080451E" w:rsidRPr="00B43BB1">
                <w:rPr>
                  <w:rStyle w:val="Hyperlink"/>
                  <w:rFonts w:cs="Times New Roman"/>
                  <w:sz w:val="23"/>
                  <w:szCs w:val="23"/>
                </w:rPr>
                <w:t>John_Vimont@nps.gov</w:t>
              </w:r>
            </w:hyperlink>
          </w:p>
          <w:p w14:paraId="0183E53B" w14:textId="77777777" w:rsidR="0080451E" w:rsidRDefault="0080451E" w:rsidP="009A251C">
            <w:pPr>
              <w:autoSpaceDE w:val="0"/>
              <w:autoSpaceDN w:val="0"/>
              <w:adjustRightInd w:val="0"/>
              <w:spacing w:after="0" w:line="240" w:lineRule="auto"/>
              <w:rPr>
                <w:rFonts w:cs="Times New Roman"/>
                <w:color w:val="0000FF"/>
                <w:sz w:val="23"/>
                <w:szCs w:val="23"/>
              </w:rPr>
            </w:pPr>
            <w:r w:rsidRPr="00B43BB1">
              <w:rPr>
                <w:rFonts w:cs="Times New Roman"/>
                <w:i/>
                <w:iCs/>
                <w:color w:val="000000"/>
                <w:sz w:val="23"/>
                <w:szCs w:val="23"/>
              </w:rPr>
              <w:t>National Park Service</w:t>
            </w:r>
          </w:p>
          <w:p w14:paraId="3BFDB58A" w14:textId="77777777" w:rsidR="0080451E" w:rsidRPr="00B43BB1" w:rsidRDefault="0080451E" w:rsidP="009A251C">
            <w:pPr>
              <w:autoSpaceDE w:val="0"/>
              <w:autoSpaceDN w:val="0"/>
              <w:adjustRightInd w:val="0"/>
              <w:spacing w:after="0" w:line="240" w:lineRule="auto"/>
              <w:rPr>
                <w:rFonts w:cs="Times New Roman"/>
                <w:color w:val="0000FF"/>
                <w:sz w:val="23"/>
                <w:szCs w:val="23"/>
              </w:rPr>
            </w:pPr>
          </w:p>
        </w:tc>
      </w:tr>
      <w:tr w:rsidR="0080451E" w:rsidRPr="00B43BB1" w14:paraId="735C1A20" w14:textId="77777777" w:rsidTr="009A251C">
        <w:trPr>
          <w:trHeight w:val="80"/>
        </w:trPr>
        <w:tc>
          <w:tcPr>
            <w:tcW w:w="12240" w:type="dxa"/>
            <w:gridSpan w:val="4"/>
          </w:tcPr>
          <w:p w14:paraId="663DFE92" w14:textId="77777777" w:rsidR="0080451E" w:rsidRPr="00B43BB1" w:rsidRDefault="0080451E" w:rsidP="009A251C">
            <w:pPr>
              <w:autoSpaceDE w:val="0"/>
              <w:autoSpaceDN w:val="0"/>
              <w:adjustRightInd w:val="0"/>
              <w:spacing w:after="0" w:line="240" w:lineRule="auto"/>
              <w:rPr>
                <w:rFonts w:cs="Times New Roman"/>
                <w:color w:val="000000"/>
                <w:sz w:val="23"/>
                <w:szCs w:val="23"/>
              </w:rPr>
            </w:pPr>
          </w:p>
        </w:tc>
      </w:tr>
      <w:tr w:rsidR="0080451E" w:rsidRPr="00B43BB1" w14:paraId="49C2C4C9" w14:textId="77777777" w:rsidTr="009A251C">
        <w:trPr>
          <w:trHeight w:val="1049"/>
        </w:trPr>
        <w:tc>
          <w:tcPr>
            <w:tcW w:w="5148" w:type="dxa"/>
          </w:tcPr>
          <w:p w14:paraId="2F633DD4" w14:textId="77777777" w:rsidR="0080451E" w:rsidRDefault="0080451E" w:rsidP="009A251C">
            <w:pPr>
              <w:pStyle w:val="Default"/>
              <w:rPr>
                <w:sz w:val="23"/>
                <w:szCs w:val="23"/>
              </w:rPr>
            </w:pPr>
            <w:r>
              <w:rPr>
                <w:sz w:val="23"/>
                <w:szCs w:val="23"/>
              </w:rPr>
              <w:t xml:space="preserve">Leslie Witherspoon, Manager </w:t>
            </w:r>
          </w:p>
          <w:p w14:paraId="0D47BFC4" w14:textId="77777777" w:rsidR="0080451E" w:rsidRDefault="0080451E" w:rsidP="009A251C">
            <w:pPr>
              <w:pStyle w:val="Default"/>
              <w:rPr>
                <w:sz w:val="23"/>
                <w:szCs w:val="23"/>
              </w:rPr>
            </w:pPr>
            <w:r>
              <w:rPr>
                <w:sz w:val="23"/>
                <w:szCs w:val="23"/>
              </w:rPr>
              <w:t xml:space="preserve">Environmental Programs </w:t>
            </w:r>
          </w:p>
          <w:p w14:paraId="14947C33" w14:textId="77777777" w:rsidR="0080451E" w:rsidRDefault="00AA50AA" w:rsidP="009A251C">
            <w:pPr>
              <w:pStyle w:val="Default"/>
              <w:rPr>
                <w:color w:val="0000FF"/>
                <w:sz w:val="23"/>
                <w:szCs w:val="23"/>
              </w:rPr>
            </w:pPr>
            <w:hyperlink r:id="rId45" w:history="1">
              <w:r w:rsidR="0080451E" w:rsidRPr="004E75CE">
                <w:rPr>
                  <w:rStyle w:val="Hyperlink"/>
                  <w:sz w:val="23"/>
                  <w:szCs w:val="23"/>
                </w:rPr>
                <w:t>Witherspoon_leslie_h@solarturbines.com</w:t>
              </w:r>
            </w:hyperlink>
          </w:p>
          <w:p w14:paraId="1F6D7AA2" w14:textId="77777777" w:rsidR="0080451E" w:rsidRDefault="0080451E" w:rsidP="009A251C">
            <w:pPr>
              <w:autoSpaceDE w:val="0"/>
              <w:autoSpaceDN w:val="0"/>
              <w:adjustRightInd w:val="0"/>
              <w:spacing w:after="0" w:line="240" w:lineRule="auto"/>
              <w:rPr>
                <w:rFonts w:cs="Times New Roman"/>
                <w:color w:val="000000"/>
                <w:sz w:val="23"/>
                <w:szCs w:val="23"/>
              </w:rPr>
            </w:pPr>
            <w:r w:rsidRPr="00F35594">
              <w:rPr>
                <w:rFonts w:cs="Times New Roman"/>
                <w:i/>
                <w:iCs/>
                <w:sz w:val="23"/>
                <w:szCs w:val="23"/>
              </w:rPr>
              <w:t>Solar Turbines, Inc</w:t>
            </w:r>
            <w:r>
              <w:rPr>
                <w:i/>
                <w:iCs/>
                <w:sz w:val="23"/>
                <w:szCs w:val="23"/>
              </w:rPr>
              <w:t xml:space="preserve">. </w:t>
            </w:r>
          </w:p>
          <w:p w14:paraId="460664FB" w14:textId="77777777" w:rsidR="0080451E" w:rsidRPr="00B43BB1" w:rsidRDefault="0080451E" w:rsidP="009A251C">
            <w:pPr>
              <w:autoSpaceDE w:val="0"/>
              <w:autoSpaceDN w:val="0"/>
              <w:adjustRightInd w:val="0"/>
              <w:spacing w:after="0" w:line="240" w:lineRule="auto"/>
              <w:rPr>
                <w:rFonts w:cs="Times New Roman"/>
                <w:color w:val="0000FF"/>
                <w:sz w:val="23"/>
                <w:szCs w:val="23"/>
              </w:rPr>
            </w:pPr>
          </w:p>
        </w:tc>
        <w:tc>
          <w:tcPr>
            <w:tcW w:w="7092" w:type="dxa"/>
            <w:gridSpan w:val="3"/>
          </w:tcPr>
          <w:p w14:paraId="7E5CB9A3" w14:textId="77777777" w:rsidR="0080451E" w:rsidRDefault="0080451E" w:rsidP="009A251C">
            <w:pPr>
              <w:pStyle w:val="Default"/>
              <w:rPr>
                <w:sz w:val="23"/>
                <w:szCs w:val="23"/>
              </w:rPr>
            </w:pPr>
            <w:r>
              <w:rPr>
                <w:sz w:val="23"/>
                <w:szCs w:val="23"/>
              </w:rPr>
              <w:t xml:space="preserve">Felicia L. Orth </w:t>
            </w:r>
          </w:p>
          <w:p w14:paraId="464A94DB" w14:textId="77777777" w:rsidR="0080451E" w:rsidRDefault="00AA50AA" w:rsidP="009A251C">
            <w:pPr>
              <w:pStyle w:val="Default"/>
              <w:rPr>
                <w:color w:val="0000FF"/>
                <w:sz w:val="23"/>
                <w:szCs w:val="23"/>
              </w:rPr>
            </w:pPr>
            <w:hyperlink r:id="rId46" w:history="1">
              <w:r w:rsidR="0080451E" w:rsidRPr="004E75CE">
                <w:rPr>
                  <w:rStyle w:val="Hyperlink"/>
                  <w:sz w:val="23"/>
                  <w:szCs w:val="23"/>
                </w:rPr>
                <w:t>Felicia.L.Orth@gmail.com</w:t>
              </w:r>
            </w:hyperlink>
          </w:p>
          <w:p w14:paraId="363D6C1A" w14:textId="77777777" w:rsidR="0080451E" w:rsidRDefault="0080451E" w:rsidP="009A251C">
            <w:pPr>
              <w:autoSpaceDE w:val="0"/>
              <w:autoSpaceDN w:val="0"/>
              <w:adjustRightInd w:val="0"/>
              <w:spacing w:after="0" w:line="240" w:lineRule="auto"/>
              <w:rPr>
                <w:rFonts w:cs="Times New Roman"/>
                <w:i/>
                <w:iCs/>
                <w:sz w:val="23"/>
                <w:szCs w:val="23"/>
              </w:rPr>
            </w:pPr>
            <w:r w:rsidRPr="00F35594">
              <w:rPr>
                <w:rFonts w:cs="Times New Roman"/>
                <w:i/>
                <w:iCs/>
                <w:sz w:val="23"/>
                <w:szCs w:val="23"/>
              </w:rPr>
              <w:t xml:space="preserve">Environmental Improvement Board Hearing Officer </w:t>
            </w:r>
          </w:p>
          <w:p w14:paraId="6D68F36A" w14:textId="77777777" w:rsidR="0080451E" w:rsidRDefault="0080451E" w:rsidP="009A251C">
            <w:pPr>
              <w:autoSpaceDE w:val="0"/>
              <w:autoSpaceDN w:val="0"/>
              <w:adjustRightInd w:val="0"/>
              <w:spacing w:after="0" w:line="240" w:lineRule="auto"/>
              <w:rPr>
                <w:rFonts w:cs="Times New Roman"/>
                <w:i/>
                <w:iCs/>
                <w:sz w:val="23"/>
                <w:szCs w:val="23"/>
              </w:rPr>
            </w:pPr>
          </w:p>
          <w:p w14:paraId="6E4F1EC5" w14:textId="77777777" w:rsidR="0080451E" w:rsidRDefault="0080451E" w:rsidP="009A251C">
            <w:pPr>
              <w:autoSpaceDE w:val="0"/>
              <w:autoSpaceDN w:val="0"/>
              <w:adjustRightInd w:val="0"/>
              <w:spacing w:after="0" w:line="240" w:lineRule="auto"/>
              <w:rPr>
                <w:rFonts w:cs="Times New Roman"/>
                <w:i/>
                <w:iCs/>
                <w:sz w:val="23"/>
                <w:szCs w:val="23"/>
              </w:rPr>
            </w:pPr>
          </w:p>
          <w:p w14:paraId="6C5C4FBE" w14:textId="77777777" w:rsidR="0080451E" w:rsidRDefault="0080451E" w:rsidP="009A251C">
            <w:pPr>
              <w:autoSpaceDE w:val="0"/>
              <w:autoSpaceDN w:val="0"/>
              <w:adjustRightInd w:val="0"/>
              <w:spacing w:after="0" w:line="240" w:lineRule="auto"/>
              <w:rPr>
                <w:rFonts w:cs="Times New Roman"/>
                <w:i/>
                <w:iCs/>
                <w:sz w:val="23"/>
                <w:szCs w:val="23"/>
              </w:rPr>
            </w:pPr>
          </w:p>
          <w:p w14:paraId="2C6C26AF" w14:textId="77777777" w:rsidR="0080451E" w:rsidRDefault="0080451E" w:rsidP="009A251C">
            <w:pPr>
              <w:autoSpaceDE w:val="0"/>
              <w:autoSpaceDN w:val="0"/>
              <w:adjustRightInd w:val="0"/>
              <w:spacing w:after="0" w:line="240" w:lineRule="auto"/>
              <w:rPr>
                <w:rFonts w:cs="Times New Roman"/>
                <w:i/>
                <w:iCs/>
                <w:sz w:val="23"/>
                <w:szCs w:val="23"/>
              </w:rPr>
            </w:pPr>
          </w:p>
          <w:p w14:paraId="4C14C863" w14:textId="77777777" w:rsidR="0080451E" w:rsidRDefault="0080451E" w:rsidP="009A251C">
            <w:pPr>
              <w:autoSpaceDE w:val="0"/>
              <w:autoSpaceDN w:val="0"/>
              <w:adjustRightInd w:val="0"/>
              <w:spacing w:after="0" w:line="240" w:lineRule="auto"/>
              <w:rPr>
                <w:rFonts w:cs="Times New Roman"/>
                <w:i/>
                <w:iCs/>
                <w:sz w:val="23"/>
                <w:szCs w:val="23"/>
              </w:rPr>
            </w:pPr>
          </w:p>
          <w:p w14:paraId="54585C60" w14:textId="77777777" w:rsidR="0080451E" w:rsidRDefault="0080451E" w:rsidP="009A251C">
            <w:pPr>
              <w:autoSpaceDE w:val="0"/>
              <w:autoSpaceDN w:val="0"/>
              <w:adjustRightInd w:val="0"/>
              <w:spacing w:after="0" w:line="240" w:lineRule="auto"/>
              <w:rPr>
                <w:rFonts w:cs="Times New Roman"/>
                <w:i/>
                <w:iCs/>
                <w:sz w:val="23"/>
                <w:szCs w:val="23"/>
              </w:rPr>
            </w:pPr>
          </w:p>
          <w:p w14:paraId="5CDCA39E" w14:textId="77777777" w:rsidR="0080451E" w:rsidRDefault="0080451E" w:rsidP="009A251C">
            <w:pPr>
              <w:autoSpaceDE w:val="0"/>
              <w:autoSpaceDN w:val="0"/>
              <w:adjustRightInd w:val="0"/>
              <w:spacing w:after="0" w:line="240" w:lineRule="auto"/>
              <w:rPr>
                <w:rFonts w:cs="Times New Roman"/>
                <w:i/>
                <w:iCs/>
                <w:sz w:val="23"/>
                <w:szCs w:val="23"/>
              </w:rPr>
            </w:pPr>
          </w:p>
          <w:p w14:paraId="177DCEF3" w14:textId="77777777" w:rsidR="0080451E" w:rsidRDefault="0080451E" w:rsidP="009A251C">
            <w:pPr>
              <w:autoSpaceDE w:val="0"/>
              <w:autoSpaceDN w:val="0"/>
              <w:adjustRightInd w:val="0"/>
              <w:spacing w:after="0" w:line="240" w:lineRule="auto"/>
              <w:rPr>
                <w:rFonts w:cs="Times New Roman"/>
                <w:i/>
                <w:iCs/>
                <w:sz w:val="23"/>
                <w:szCs w:val="23"/>
              </w:rPr>
            </w:pPr>
          </w:p>
          <w:p w14:paraId="5078FEFE" w14:textId="77777777" w:rsidR="0080451E" w:rsidRDefault="0080451E" w:rsidP="009A251C">
            <w:pPr>
              <w:autoSpaceDE w:val="0"/>
              <w:autoSpaceDN w:val="0"/>
              <w:adjustRightInd w:val="0"/>
              <w:spacing w:after="0" w:line="240" w:lineRule="auto"/>
              <w:rPr>
                <w:rFonts w:cs="Times New Roman"/>
                <w:i/>
                <w:iCs/>
                <w:sz w:val="23"/>
                <w:szCs w:val="23"/>
              </w:rPr>
            </w:pPr>
          </w:p>
          <w:p w14:paraId="4CDB3163" w14:textId="77777777" w:rsidR="0080451E" w:rsidRPr="00FA7AE9" w:rsidRDefault="0080451E" w:rsidP="009A251C">
            <w:pPr>
              <w:pStyle w:val="Default"/>
              <w:rPr>
                <w:sz w:val="23"/>
                <w:szCs w:val="23"/>
                <w:u w:val="single"/>
              </w:rPr>
            </w:pPr>
            <w:r>
              <w:rPr>
                <w:sz w:val="23"/>
                <w:szCs w:val="23"/>
              </w:rPr>
              <w:t>By:</w:t>
            </w:r>
            <w:r>
              <w:rPr>
                <w:sz w:val="23"/>
                <w:szCs w:val="23"/>
                <w:u w:val="single"/>
              </w:rPr>
              <w:t xml:space="preserve">     </w:t>
            </w:r>
            <w:r w:rsidRPr="00FA7AE9">
              <w:rPr>
                <w:i/>
                <w:iCs/>
                <w:sz w:val="23"/>
                <w:szCs w:val="23"/>
                <w:u w:val="single"/>
              </w:rPr>
              <w:t xml:space="preserve">/s/ Louis W. </w:t>
            </w:r>
            <w:r w:rsidRPr="00B142FF">
              <w:rPr>
                <w:i/>
                <w:iCs/>
                <w:sz w:val="23"/>
                <w:szCs w:val="23"/>
                <w:u w:val="single"/>
              </w:rPr>
              <w:t>R</w:t>
            </w:r>
            <w:r w:rsidRPr="00C67203">
              <w:rPr>
                <w:i/>
                <w:iCs/>
                <w:sz w:val="23"/>
                <w:szCs w:val="23"/>
                <w:u w:val="single"/>
              </w:rPr>
              <w:t>ose</w:t>
            </w:r>
            <w:r>
              <w:rPr>
                <w:i/>
                <w:iCs/>
                <w:sz w:val="23"/>
                <w:szCs w:val="23"/>
                <w:u w:val="single"/>
              </w:rPr>
              <w:t xml:space="preserve">                                    .</w:t>
            </w:r>
            <w:r w:rsidRPr="00C67203">
              <w:rPr>
                <w:i/>
                <w:iCs/>
                <w:sz w:val="23"/>
                <w:szCs w:val="23"/>
                <w:u w:val="single"/>
              </w:rPr>
              <w:t xml:space="preserve">                            </w:t>
            </w:r>
            <w:r>
              <w:rPr>
                <w:i/>
                <w:iCs/>
                <w:sz w:val="23"/>
                <w:szCs w:val="23"/>
                <w:u w:val="single"/>
              </w:rPr>
              <w:t xml:space="preserve">                                                                 </w:t>
            </w:r>
            <w:r>
              <w:rPr>
                <w:i/>
                <w:iCs/>
                <w:sz w:val="23"/>
                <w:szCs w:val="23"/>
              </w:rPr>
              <w:t xml:space="preserve">  </w:t>
            </w:r>
            <w:r>
              <w:rPr>
                <w:i/>
                <w:iCs/>
                <w:sz w:val="23"/>
                <w:szCs w:val="23"/>
                <w:u w:val="single"/>
              </w:rPr>
              <w:t xml:space="preserve">    </w:t>
            </w:r>
            <w:r w:rsidRPr="00FA7AE9">
              <w:rPr>
                <w:i/>
                <w:iCs/>
                <w:sz w:val="23"/>
                <w:szCs w:val="23"/>
                <w:u w:val="single"/>
              </w:rPr>
              <w:t xml:space="preserve"> </w:t>
            </w:r>
          </w:p>
          <w:p w14:paraId="10027803" w14:textId="77777777" w:rsidR="0080451E" w:rsidRPr="00B43BB1" w:rsidRDefault="0080451E" w:rsidP="009A251C">
            <w:pPr>
              <w:autoSpaceDE w:val="0"/>
              <w:autoSpaceDN w:val="0"/>
              <w:adjustRightInd w:val="0"/>
              <w:spacing w:after="0" w:line="240" w:lineRule="auto"/>
              <w:rPr>
                <w:rFonts w:cs="Times New Roman"/>
                <w:color w:val="000000"/>
                <w:sz w:val="23"/>
                <w:szCs w:val="23"/>
              </w:rPr>
            </w:pPr>
            <w:r>
              <w:rPr>
                <w:rFonts w:cs="Times New Roman"/>
                <w:sz w:val="23"/>
                <w:szCs w:val="23"/>
              </w:rPr>
              <w:t xml:space="preserve">        </w:t>
            </w:r>
            <w:r w:rsidRPr="00FA7AE9">
              <w:rPr>
                <w:rFonts w:cs="Times New Roman"/>
                <w:sz w:val="23"/>
                <w:szCs w:val="23"/>
              </w:rPr>
              <w:t>Louis W. Rose</w:t>
            </w:r>
          </w:p>
        </w:tc>
      </w:tr>
    </w:tbl>
    <w:p w14:paraId="5A541EB8" w14:textId="77777777" w:rsidR="0080451E" w:rsidRPr="00530899" w:rsidRDefault="0080451E" w:rsidP="00BF21E4">
      <w:pPr>
        <w:spacing w:after="0" w:line="480" w:lineRule="auto"/>
        <w:ind w:left="720"/>
      </w:pPr>
    </w:p>
    <w:sectPr w:rsidR="0080451E" w:rsidRPr="00530899" w:rsidSect="00BD1424">
      <w:footerReference w:type="default" r:id="rId47"/>
      <w:footerReference w:type="first" r:id="rId48"/>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61DB" w14:textId="77777777" w:rsidR="008E6A9F" w:rsidRDefault="008E6A9F" w:rsidP="0038136B">
      <w:pPr>
        <w:spacing w:after="0" w:line="240" w:lineRule="auto"/>
      </w:pPr>
      <w:r>
        <w:separator/>
      </w:r>
    </w:p>
  </w:endnote>
  <w:endnote w:type="continuationSeparator" w:id="0">
    <w:p w14:paraId="70FDE023" w14:textId="77777777" w:rsidR="008E6A9F" w:rsidRDefault="008E6A9F" w:rsidP="00381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993859"/>
      <w:docPartObj>
        <w:docPartGallery w:val="Page Numbers (Bottom of Page)"/>
        <w:docPartUnique/>
      </w:docPartObj>
    </w:sdtPr>
    <w:sdtEndPr>
      <w:rPr>
        <w:noProof/>
      </w:rPr>
    </w:sdtEndPr>
    <w:sdtContent>
      <w:p w14:paraId="6937AEDA" w14:textId="4729D271" w:rsidR="00D26C4B" w:rsidRDefault="00D26C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329B00" w14:textId="2F9D84EA" w:rsidR="0038136B" w:rsidRPr="0038136B" w:rsidRDefault="00381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10238"/>
      <w:docPartObj>
        <w:docPartGallery w:val="Page Numbers (Bottom of Page)"/>
        <w:docPartUnique/>
      </w:docPartObj>
    </w:sdtPr>
    <w:sdtEndPr>
      <w:rPr>
        <w:noProof/>
      </w:rPr>
    </w:sdtEndPr>
    <w:sdtContent>
      <w:p w14:paraId="44B3114D" w14:textId="4899B3EC" w:rsidR="00BD1424" w:rsidRDefault="00AA50AA">
        <w:pPr>
          <w:pStyle w:val="Footer"/>
          <w:jc w:val="center"/>
        </w:pPr>
      </w:p>
    </w:sdtContent>
  </w:sdt>
  <w:p w14:paraId="3F59A7FD" w14:textId="77777777" w:rsidR="00BD1424" w:rsidRDefault="00BD1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158299"/>
      <w:docPartObj>
        <w:docPartGallery w:val="Page Numbers (Bottom of Page)"/>
        <w:docPartUnique/>
      </w:docPartObj>
    </w:sdtPr>
    <w:sdtEndPr>
      <w:rPr>
        <w:noProof/>
      </w:rPr>
    </w:sdtEndPr>
    <w:sdtContent>
      <w:p w14:paraId="180670B0" w14:textId="74E3F3E6" w:rsidR="00BD1424" w:rsidRDefault="00BD14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9F2623" w14:textId="77777777" w:rsidR="00BD1424" w:rsidRDefault="00BD14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3323"/>
      <w:docPartObj>
        <w:docPartGallery w:val="Page Numbers (Bottom of Page)"/>
        <w:docPartUnique/>
      </w:docPartObj>
    </w:sdtPr>
    <w:sdtEndPr>
      <w:rPr>
        <w:noProof/>
      </w:rPr>
    </w:sdtEndPr>
    <w:sdtContent>
      <w:p w14:paraId="26052740" w14:textId="77777777" w:rsidR="00BD1424" w:rsidRDefault="00BD14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BF8E01" w14:textId="77777777" w:rsidR="00BD1424" w:rsidRPr="0038136B" w:rsidRDefault="00BD14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62D52" w14:textId="77777777" w:rsidR="00BD1424" w:rsidRDefault="00BD1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42359" w14:textId="77777777" w:rsidR="008E6A9F" w:rsidRDefault="008E6A9F" w:rsidP="0038136B">
      <w:pPr>
        <w:spacing w:after="0" w:line="240" w:lineRule="auto"/>
        <w:rPr>
          <w:noProof/>
        </w:rPr>
      </w:pPr>
      <w:r>
        <w:rPr>
          <w:noProof/>
        </w:rPr>
        <w:separator/>
      </w:r>
    </w:p>
  </w:footnote>
  <w:footnote w:type="continuationSeparator" w:id="0">
    <w:p w14:paraId="33B9A78A" w14:textId="77777777" w:rsidR="008E6A9F" w:rsidRDefault="008E6A9F" w:rsidP="0038136B">
      <w:pPr>
        <w:spacing w:after="0" w:line="240" w:lineRule="auto"/>
      </w:pPr>
      <w:r>
        <w:continuationSeparator/>
      </w:r>
    </w:p>
  </w:footnote>
  <w:footnote w:id="1">
    <w:p w14:paraId="292CC7F6" w14:textId="51C4B6F1" w:rsidR="001E19A0" w:rsidRPr="001E19A0" w:rsidRDefault="001E19A0" w:rsidP="00DA617F">
      <w:pPr>
        <w:pStyle w:val="FootnoteText"/>
        <w:jc w:val="both"/>
        <w:rPr>
          <w:rFonts w:ascii="Times New Roman" w:hAnsi="Times New Roman" w:cs="Times New Roman"/>
        </w:rPr>
      </w:pPr>
      <w:r w:rsidRPr="00DA617F">
        <w:rPr>
          <w:rStyle w:val="FootnoteReference"/>
          <w:rFonts w:ascii="Times New Roman" w:hAnsi="Times New Roman" w:cs="Times New Roman"/>
        </w:rPr>
        <w:footnoteRef/>
      </w:r>
      <w:r w:rsidRPr="00DA617F">
        <w:rPr>
          <w:rFonts w:ascii="Times New Roman" w:hAnsi="Times New Roman" w:cs="Times New Roman"/>
        </w:rPr>
        <w:t xml:space="preserve"> The Air Act defines “air pollution” as</w:t>
      </w:r>
      <w:r>
        <w:rPr>
          <w:rFonts w:ascii="Times New Roman" w:hAnsi="Times New Roman" w:cs="Times New Roman"/>
        </w:rPr>
        <w:t xml:space="preserve"> </w:t>
      </w:r>
      <w:r w:rsidR="00DA617F">
        <w:rPr>
          <w:rFonts w:ascii="Times New Roman" w:hAnsi="Times New Roman" w:cs="Times New Roman"/>
        </w:rPr>
        <w:t>“</w:t>
      </w:r>
      <w:r w:rsidR="00DA617F" w:rsidRPr="00DA617F">
        <w:rPr>
          <w:rFonts w:ascii="Times New Roman" w:hAnsi="Times New Roman" w:cs="Times New Roman"/>
        </w:rPr>
        <w:t>the emission, except emission that occurs in nature, into the outdoor atmosphere of one or more air contaminants in quantities and of a duration that may with reasonable probability injure human health or animal or plant life or as may unreasonably interfere with the public welfare, visibility or the reasonable use of property</w:t>
      </w:r>
      <w:r w:rsidR="00DA617F">
        <w:rPr>
          <w:rFonts w:ascii="Times New Roman" w:hAnsi="Times New Roman" w:cs="Times New Roman"/>
        </w:rPr>
        <w:t xml:space="preserve">.”  NMSA 1978, § 74-2-2(B) </w:t>
      </w:r>
      <w:r w:rsidR="00DA617F" w:rsidRPr="00B24A60">
        <w:rPr>
          <w:rFonts w:ascii="Times New Roman" w:hAnsi="Times New Roman" w:cs="Times New Roman"/>
        </w:rPr>
        <w:t>(</w:t>
      </w:r>
      <w:r w:rsidR="00B24A60" w:rsidRPr="00B24A60">
        <w:rPr>
          <w:rFonts w:ascii="Times New Roman" w:hAnsi="Times New Roman" w:cs="Times New Roman"/>
        </w:rPr>
        <w:t>2001</w:t>
      </w:r>
      <w:r w:rsidR="00DA617F" w:rsidRPr="00B24A60">
        <w:rPr>
          <w:rFonts w:ascii="Times New Roman" w:hAnsi="Times New Roman" w:cs="Times New Roman"/>
        </w:rPr>
        <w:t>).</w:t>
      </w:r>
      <w:r w:rsidRPr="00DA617F">
        <w:rPr>
          <w:rFonts w:ascii="Times New Roman" w:hAnsi="Times New Roman" w:cs="Times New Roman"/>
        </w:rPr>
        <w:t xml:space="preserve"> </w:t>
      </w:r>
    </w:p>
  </w:footnote>
  <w:footnote w:id="2">
    <w:p w14:paraId="563C676E" w14:textId="676D49E2" w:rsidR="00C617ED" w:rsidRPr="00264684" w:rsidRDefault="00C617ED" w:rsidP="00C617ED">
      <w:pPr>
        <w:pStyle w:val="FootnoteText"/>
        <w:jc w:val="both"/>
        <w:rPr>
          <w:rFonts w:ascii="Times New Roman" w:hAnsi="Times New Roman" w:cs="Times New Roman"/>
          <w:u w:val="single"/>
        </w:rPr>
      </w:pPr>
      <w:r w:rsidRPr="00264684">
        <w:rPr>
          <w:rStyle w:val="FootnoteReference"/>
          <w:rFonts w:ascii="Times New Roman" w:hAnsi="Times New Roman" w:cs="Times New Roman"/>
        </w:rPr>
        <w:footnoteRef/>
      </w:r>
      <w:r w:rsidRPr="00264684">
        <w:rPr>
          <w:rFonts w:ascii="Times New Roman" w:hAnsi="Times New Roman" w:cs="Times New Roman"/>
        </w:rPr>
        <w:t xml:space="preserve"> </w:t>
      </w:r>
      <w:r>
        <w:rPr>
          <w:rFonts w:ascii="Times New Roman" w:hAnsi="Times New Roman" w:cs="Times New Roman"/>
        </w:rPr>
        <w:t xml:space="preserve">Methane is chemically and statutorily distinct from NOx and VOC.  </w:t>
      </w:r>
      <w:r w:rsidRPr="00264684">
        <w:rPr>
          <w:rFonts w:ascii="Times New Roman" w:hAnsi="Times New Roman" w:cs="Times New Roman"/>
        </w:rPr>
        <w:t>Methane (CH4) is a hydrocarbon that is a primary component of natural gas.</w:t>
      </w:r>
      <w:r w:rsidR="004650DC">
        <w:rPr>
          <w:rFonts w:ascii="Times New Roman" w:hAnsi="Times New Roman" w:cs="Times New Roman"/>
        </w:rPr>
        <w:t xml:space="preserve">  20.2.2.7(S) NMAC.</w:t>
      </w:r>
      <w:r w:rsidRPr="00264684">
        <w:rPr>
          <w:rFonts w:ascii="Times New Roman" w:hAnsi="Times New Roman" w:cs="Times New Roman"/>
        </w:rPr>
        <w:t xml:space="preserve"> </w:t>
      </w:r>
      <w:hyperlink r:id="rId1" w:history="1">
        <w:r w:rsidRPr="00264684">
          <w:rPr>
            <w:rStyle w:val="Hyperlink"/>
            <w:rFonts w:ascii="Times New Roman" w:hAnsi="Times New Roman" w:cs="Times New Roman"/>
          </w:rPr>
          <w:t>https://www.epa.gov/gmi/importance-methane</w:t>
        </w:r>
      </w:hyperlink>
      <w:r w:rsidRPr="00264684">
        <w:rPr>
          <w:rFonts w:ascii="Times New Roman" w:hAnsi="Times New Roman" w:cs="Times New Roman"/>
        </w:rPr>
        <w:t xml:space="preserve">. </w:t>
      </w:r>
      <w:r>
        <w:rPr>
          <w:rFonts w:ascii="Times New Roman" w:hAnsi="Times New Roman" w:cs="Times New Roman"/>
        </w:rPr>
        <w:t xml:space="preserve">NOx </w:t>
      </w:r>
      <w:r w:rsidRPr="00264684">
        <w:rPr>
          <w:rFonts w:ascii="Times New Roman" w:hAnsi="Times New Roman" w:cs="Times New Roman"/>
        </w:rPr>
        <w:t>means oxides of nitrogen. 42 U.S.C.A. § 7602(v) (West). VOC means volatile organic compound, as defined by the Administrator. 42 U.S.C.A. § 7602(s) (West</w:t>
      </w:r>
      <w:r w:rsidRPr="006A732F">
        <w:rPr>
          <w:rFonts w:ascii="Times New Roman" w:hAnsi="Times New Roman" w:cs="Times New Roman"/>
        </w:rPr>
        <w:t xml:space="preserve">). </w:t>
      </w:r>
      <w:r w:rsidR="006A732F" w:rsidRPr="006A732F">
        <w:rPr>
          <w:rFonts w:ascii="Times New Roman" w:hAnsi="Times New Roman" w:cs="Times New Roman"/>
        </w:rPr>
        <w:t>"Volatile organic compound (VOC)</w:t>
      </w:r>
      <w:r w:rsidR="006A732F" w:rsidRPr="006A732F">
        <w:rPr>
          <w:rFonts w:ascii="Times New Roman" w:hAnsi="Times New Roman" w:cs="Times New Roman"/>
          <w:b/>
          <w:bCs/>
        </w:rPr>
        <w:t>"</w:t>
      </w:r>
      <w:r w:rsidR="006A732F" w:rsidRPr="006A732F">
        <w:rPr>
          <w:rFonts w:ascii="Times New Roman" w:hAnsi="Times New Roman" w:cs="Times New Roman"/>
        </w:rPr>
        <w:t> means any organic compound which participates in atmospheric photochemical reactions; that is, any organic compound other than those which the administrator designates as having negligible photochemical reactivity.  20.2.2.7(AS) NMAC.  “</w:t>
      </w:r>
      <w:r w:rsidRPr="00264684">
        <w:rPr>
          <w:rFonts w:ascii="Times New Roman" w:hAnsi="Times New Roman" w:cs="Times New Roman"/>
        </w:rPr>
        <w:t xml:space="preserve">This includes any such organic compound </w:t>
      </w:r>
      <w:r w:rsidRPr="00264684">
        <w:rPr>
          <w:rFonts w:ascii="Times New Roman" w:hAnsi="Times New Roman" w:cs="Times New Roman"/>
          <w:i/>
          <w:iCs/>
        </w:rPr>
        <w:t>other than the following, which have been determined to have negligible photochemical reactivity: Methane</w:t>
      </w:r>
      <w:r w:rsidRPr="00BC6277">
        <w:rPr>
          <w:rFonts w:ascii="Times New Roman" w:hAnsi="Times New Roman" w:cs="Times New Roman"/>
        </w:rPr>
        <w:t xml:space="preserve">[.]” 40 C.F.R. § 51.100(s)(1). </w:t>
      </w:r>
    </w:p>
  </w:footnote>
  <w:footnote w:id="3">
    <w:p w14:paraId="24E3CE31" w14:textId="244D72F5" w:rsidR="00305F6B" w:rsidRPr="00CF4BB2" w:rsidRDefault="00305F6B">
      <w:pPr>
        <w:pStyle w:val="FootnoteText"/>
        <w:rPr>
          <w:rFonts w:ascii="Times New Roman" w:hAnsi="Times New Roman" w:cs="Times New Roman"/>
        </w:rPr>
      </w:pPr>
      <w:r w:rsidRPr="00CF4BB2">
        <w:rPr>
          <w:rStyle w:val="FootnoteReference"/>
          <w:rFonts w:ascii="Times New Roman" w:hAnsi="Times New Roman" w:cs="Times New Roman"/>
        </w:rPr>
        <w:footnoteRef/>
      </w:r>
      <w:r w:rsidRPr="00CF4BB2">
        <w:rPr>
          <w:rFonts w:ascii="Times New Roman" w:hAnsi="Times New Roman" w:cs="Times New Roman"/>
        </w:rPr>
        <w:t xml:space="preserve"> </w:t>
      </w:r>
      <w:r w:rsidR="00CF4BB2">
        <w:rPr>
          <w:rFonts w:ascii="Times New Roman" w:hAnsi="Times New Roman" w:cs="Times New Roman"/>
        </w:rPr>
        <w:t>IPANM concedes that the Board may have the authority to regulate methane emissions, but not under Section 74-2-5(C).</w:t>
      </w:r>
    </w:p>
  </w:footnote>
  <w:footnote w:id="4">
    <w:p w14:paraId="23F6DA1B" w14:textId="4F205C61" w:rsidR="0083032B" w:rsidRPr="0083032B" w:rsidRDefault="0083032B" w:rsidP="0083032B">
      <w:pPr>
        <w:pStyle w:val="FootnoteText"/>
        <w:jc w:val="both"/>
        <w:rPr>
          <w:rFonts w:ascii="Times New Roman" w:hAnsi="Times New Roman" w:cs="Times New Roman"/>
        </w:rPr>
      </w:pPr>
      <w:r w:rsidRPr="0083032B">
        <w:rPr>
          <w:rStyle w:val="FootnoteReference"/>
          <w:rFonts w:ascii="Times New Roman" w:hAnsi="Times New Roman" w:cs="Times New Roman"/>
        </w:rPr>
        <w:footnoteRef/>
      </w:r>
      <w:r w:rsidRPr="0083032B">
        <w:rPr>
          <w:rFonts w:ascii="Times New Roman" w:hAnsi="Times New Roman" w:cs="Times New Roman"/>
        </w:rPr>
        <w:t xml:space="preserve"> Notably, the Notice also clarifies that the Board is acting pursuant to Section 74-2-5(C), thereby confirming that its sole statutory mandate is “to control emissions of oxides of nitrogen and volatile organic compounds to provide for attainment and maintenance of the </w:t>
      </w:r>
      <w:r w:rsidR="00CF4BB2">
        <w:rPr>
          <w:rFonts w:ascii="Times New Roman" w:hAnsi="Times New Roman" w:cs="Times New Roman"/>
        </w:rPr>
        <w:t xml:space="preserve">[ozone] </w:t>
      </w:r>
      <w:r w:rsidRPr="0083032B">
        <w:rPr>
          <w:rFonts w:ascii="Times New Roman" w:hAnsi="Times New Roman" w:cs="Times New Roman"/>
        </w:rPr>
        <w:t xml:space="preserve">standard.”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CC7"/>
    <w:multiLevelType w:val="hybridMultilevel"/>
    <w:tmpl w:val="65B8C162"/>
    <w:lvl w:ilvl="0" w:tplc="876A96C6">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265CCF"/>
    <w:multiLevelType w:val="hybridMultilevel"/>
    <w:tmpl w:val="EEBC2A4E"/>
    <w:lvl w:ilvl="0" w:tplc="7EE210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811"/>
    <w:rsid w:val="00006027"/>
    <w:rsid w:val="00014629"/>
    <w:rsid w:val="00060245"/>
    <w:rsid w:val="000B2B47"/>
    <w:rsid w:val="000C03F1"/>
    <w:rsid w:val="000C785C"/>
    <w:rsid w:val="000F37AA"/>
    <w:rsid w:val="000F6357"/>
    <w:rsid w:val="00111C0A"/>
    <w:rsid w:val="001175DB"/>
    <w:rsid w:val="00125DAB"/>
    <w:rsid w:val="00147F09"/>
    <w:rsid w:val="00153D6C"/>
    <w:rsid w:val="00166151"/>
    <w:rsid w:val="00166250"/>
    <w:rsid w:val="001738F1"/>
    <w:rsid w:val="001744F2"/>
    <w:rsid w:val="00174577"/>
    <w:rsid w:val="0018247C"/>
    <w:rsid w:val="00192CC2"/>
    <w:rsid w:val="00196D0A"/>
    <w:rsid w:val="001971C3"/>
    <w:rsid w:val="001A6095"/>
    <w:rsid w:val="001B17DA"/>
    <w:rsid w:val="001B24AC"/>
    <w:rsid w:val="001C16C0"/>
    <w:rsid w:val="001C3474"/>
    <w:rsid w:val="001D795C"/>
    <w:rsid w:val="001E19A0"/>
    <w:rsid w:val="001E79FC"/>
    <w:rsid w:val="001F0DF8"/>
    <w:rsid w:val="001F7AFB"/>
    <w:rsid w:val="0020144A"/>
    <w:rsid w:val="00202109"/>
    <w:rsid w:val="002024B3"/>
    <w:rsid w:val="002358C0"/>
    <w:rsid w:val="00242690"/>
    <w:rsid w:val="00243B0C"/>
    <w:rsid w:val="00244D93"/>
    <w:rsid w:val="00253ED8"/>
    <w:rsid w:val="00271F1A"/>
    <w:rsid w:val="00286484"/>
    <w:rsid w:val="002932D5"/>
    <w:rsid w:val="002A622D"/>
    <w:rsid w:val="002A7745"/>
    <w:rsid w:val="002B7340"/>
    <w:rsid w:val="002F2E03"/>
    <w:rsid w:val="002F4651"/>
    <w:rsid w:val="00300AB2"/>
    <w:rsid w:val="00303632"/>
    <w:rsid w:val="0030435A"/>
    <w:rsid w:val="003050DE"/>
    <w:rsid w:val="00305F6B"/>
    <w:rsid w:val="0032038F"/>
    <w:rsid w:val="00320CA5"/>
    <w:rsid w:val="00325206"/>
    <w:rsid w:val="003262F5"/>
    <w:rsid w:val="00357B4E"/>
    <w:rsid w:val="00365A51"/>
    <w:rsid w:val="00366FE1"/>
    <w:rsid w:val="00367238"/>
    <w:rsid w:val="0038136B"/>
    <w:rsid w:val="003878E7"/>
    <w:rsid w:val="003A2718"/>
    <w:rsid w:val="003C3536"/>
    <w:rsid w:val="003D1027"/>
    <w:rsid w:val="003E1205"/>
    <w:rsid w:val="003E717C"/>
    <w:rsid w:val="003F218A"/>
    <w:rsid w:val="004004DE"/>
    <w:rsid w:val="004019D6"/>
    <w:rsid w:val="00405C9B"/>
    <w:rsid w:val="0040756C"/>
    <w:rsid w:val="004154AE"/>
    <w:rsid w:val="004203D5"/>
    <w:rsid w:val="004253DC"/>
    <w:rsid w:val="00450EC9"/>
    <w:rsid w:val="00451E31"/>
    <w:rsid w:val="0045545C"/>
    <w:rsid w:val="00456620"/>
    <w:rsid w:val="00457F0E"/>
    <w:rsid w:val="00461C28"/>
    <w:rsid w:val="004650DC"/>
    <w:rsid w:val="004651A0"/>
    <w:rsid w:val="004714AD"/>
    <w:rsid w:val="00480A11"/>
    <w:rsid w:val="00492E32"/>
    <w:rsid w:val="00496FDB"/>
    <w:rsid w:val="004A1CFD"/>
    <w:rsid w:val="004C3583"/>
    <w:rsid w:val="004F77F6"/>
    <w:rsid w:val="00506A25"/>
    <w:rsid w:val="00511732"/>
    <w:rsid w:val="00530899"/>
    <w:rsid w:val="005356F3"/>
    <w:rsid w:val="0053570B"/>
    <w:rsid w:val="00544D47"/>
    <w:rsid w:val="0054515A"/>
    <w:rsid w:val="00571F3B"/>
    <w:rsid w:val="00571F6E"/>
    <w:rsid w:val="005A1391"/>
    <w:rsid w:val="005A3597"/>
    <w:rsid w:val="005A43F8"/>
    <w:rsid w:val="005B6319"/>
    <w:rsid w:val="005D38A5"/>
    <w:rsid w:val="005D5BEF"/>
    <w:rsid w:val="005D747B"/>
    <w:rsid w:val="005E2A0F"/>
    <w:rsid w:val="005E32E5"/>
    <w:rsid w:val="005E43A1"/>
    <w:rsid w:val="006300ED"/>
    <w:rsid w:val="006313C8"/>
    <w:rsid w:val="00634DED"/>
    <w:rsid w:val="00636EAC"/>
    <w:rsid w:val="0064546B"/>
    <w:rsid w:val="00647811"/>
    <w:rsid w:val="00664AB2"/>
    <w:rsid w:val="00691561"/>
    <w:rsid w:val="006930B3"/>
    <w:rsid w:val="006A5D10"/>
    <w:rsid w:val="006A732F"/>
    <w:rsid w:val="006B1D6B"/>
    <w:rsid w:val="006B6FE0"/>
    <w:rsid w:val="006C17B1"/>
    <w:rsid w:val="006C72B4"/>
    <w:rsid w:val="006E006E"/>
    <w:rsid w:val="006F45F8"/>
    <w:rsid w:val="0070530D"/>
    <w:rsid w:val="007504F6"/>
    <w:rsid w:val="00756C60"/>
    <w:rsid w:val="00763188"/>
    <w:rsid w:val="007938F2"/>
    <w:rsid w:val="00796057"/>
    <w:rsid w:val="007B4B69"/>
    <w:rsid w:val="007D03D0"/>
    <w:rsid w:val="007E4FA2"/>
    <w:rsid w:val="007F0F6E"/>
    <w:rsid w:val="0080451E"/>
    <w:rsid w:val="008069AF"/>
    <w:rsid w:val="00807938"/>
    <w:rsid w:val="0083032B"/>
    <w:rsid w:val="008371BA"/>
    <w:rsid w:val="00850E93"/>
    <w:rsid w:val="00851DF4"/>
    <w:rsid w:val="0085563A"/>
    <w:rsid w:val="00856AE8"/>
    <w:rsid w:val="008637DA"/>
    <w:rsid w:val="0087414A"/>
    <w:rsid w:val="00893C21"/>
    <w:rsid w:val="00895FE3"/>
    <w:rsid w:val="008C1775"/>
    <w:rsid w:val="008D154A"/>
    <w:rsid w:val="008D1DDB"/>
    <w:rsid w:val="008E57F7"/>
    <w:rsid w:val="008E6A9F"/>
    <w:rsid w:val="0092321B"/>
    <w:rsid w:val="00924A2D"/>
    <w:rsid w:val="00927F99"/>
    <w:rsid w:val="00933215"/>
    <w:rsid w:val="00970ABB"/>
    <w:rsid w:val="009753AC"/>
    <w:rsid w:val="00977774"/>
    <w:rsid w:val="009A6738"/>
    <w:rsid w:val="009B62D9"/>
    <w:rsid w:val="009C3B5D"/>
    <w:rsid w:val="009D04A6"/>
    <w:rsid w:val="009D646C"/>
    <w:rsid w:val="009D77BB"/>
    <w:rsid w:val="00A123C9"/>
    <w:rsid w:val="00A2364F"/>
    <w:rsid w:val="00A26F0D"/>
    <w:rsid w:val="00A37A94"/>
    <w:rsid w:val="00A41100"/>
    <w:rsid w:val="00A53057"/>
    <w:rsid w:val="00A600B5"/>
    <w:rsid w:val="00A8171E"/>
    <w:rsid w:val="00A81924"/>
    <w:rsid w:val="00A87AE6"/>
    <w:rsid w:val="00A9397D"/>
    <w:rsid w:val="00AA50AA"/>
    <w:rsid w:val="00AA65EF"/>
    <w:rsid w:val="00AD4C6E"/>
    <w:rsid w:val="00AD4F6E"/>
    <w:rsid w:val="00AD5F40"/>
    <w:rsid w:val="00AD6662"/>
    <w:rsid w:val="00AD697B"/>
    <w:rsid w:val="00AF7018"/>
    <w:rsid w:val="00B029F7"/>
    <w:rsid w:val="00B07FEC"/>
    <w:rsid w:val="00B24A60"/>
    <w:rsid w:val="00B26872"/>
    <w:rsid w:val="00B27CC7"/>
    <w:rsid w:val="00B46A72"/>
    <w:rsid w:val="00B52F26"/>
    <w:rsid w:val="00B61964"/>
    <w:rsid w:val="00B62608"/>
    <w:rsid w:val="00B6552B"/>
    <w:rsid w:val="00B66D27"/>
    <w:rsid w:val="00B90D86"/>
    <w:rsid w:val="00BA2C55"/>
    <w:rsid w:val="00BB015C"/>
    <w:rsid w:val="00BB6A25"/>
    <w:rsid w:val="00BD1424"/>
    <w:rsid w:val="00BF21E4"/>
    <w:rsid w:val="00C053A4"/>
    <w:rsid w:val="00C16FDA"/>
    <w:rsid w:val="00C20324"/>
    <w:rsid w:val="00C21AF0"/>
    <w:rsid w:val="00C247B7"/>
    <w:rsid w:val="00C35897"/>
    <w:rsid w:val="00C40C1B"/>
    <w:rsid w:val="00C469F0"/>
    <w:rsid w:val="00C47D87"/>
    <w:rsid w:val="00C617ED"/>
    <w:rsid w:val="00C65410"/>
    <w:rsid w:val="00C758AA"/>
    <w:rsid w:val="00C875DD"/>
    <w:rsid w:val="00C944D5"/>
    <w:rsid w:val="00CC2C17"/>
    <w:rsid w:val="00CC53F9"/>
    <w:rsid w:val="00CD0C5B"/>
    <w:rsid w:val="00CE009E"/>
    <w:rsid w:val="00CE0EAE"/>
    <w:rsid w:val="00CE461D"/>
    <w:rsid w:val="00CF0125"/>
    <w:rsid w:val="00CF4BB2"/>
    <w:rsid w:val="00D03630"/>
    <w:rsid w:val="00D1068C"/>
    <w:rsid w:val="00D11FF2"/>
    <w:rsid w:val="00D26C4B"/>
    <w:rsid w:val="00D31851"/>
    <w:rsid w:val="00D42FE0"/>
    <w:rsid w:val="00D442B4"/>
    <w:rsid w:val="00D44A28"/>
    <w:rsid w:val="00D50984"/>
    <w:rsid w:val="00D555E7"/>
    <w:rsid w:val="00D648AB"/>
    <w:rsid w:val="00DA4600"/>
    <w:rsid w:val="00DA617F"/>
    <w:rsid w:val="00DC29CB"/>
    <w:rsid w:val="00DC7329"/>
    <w:rsid w:val="00E03487"/>
    <w:rsid w:val="00E13C0B"/>
    <w:rsid w:val="00E2126A"/>
    <w:rsid w:val="00E2433F"/>
    <w:rsid w:val="00E2699C"/>
    <w:rsid w:val="00E306C8"/>
    <w:rsid w:val="00E31B2F"/>
    <w:rsid w:val="00E41C8C"/>
    <w:rsid w:val="00E54EBF"/>
    <w:rsid w:val="00E7699A"/>
    <w:rsid w:val="00E7774E"/>
    <w:rsid w:val="00E845C6"/>
    <w:rsid w:val="00EA79FE"/>
    <w:rsid w:val="00EB16B0"/>
    <w:rsid w:val="00EB441A"/>
    <w:rsid w:val="00EB4EEA"/>
    <w:rsid w:val="00ED6536"/>
    <w:rsid w:val="00EE13EB"/>
    <w:rsid w:val="00EE3179"/>
    <w:rsid w:val="00EE3199"/>
    <w:rsid w:val="00EF1DFB"/>
    <w:rsid w:val="00EF300C"/>
    <w:rsid w:val="00F21559"/>
    <w:rsid w:val="00F23E2C"/>
    <w:rsid w:val="00F24B98"/>
    <w:rsid w:val="00F27DCA"/>
    <w:rsid w:val="00F31E76"/>
    <w:rsid w:val="00F32FD0"/>
    <w:rsid w:val="00F43630"/>
    <w:rsid w:val="00F57E9B"/>
    <w:rsid w:val="00F624F0"/>
    <w:rsid w:val="00F726D0"/>
    <w:rsid w:val="00F80231"/>
    <w:rsid w:val="00F97138"/>
    <w:rsid w:val="00F97230"/>
    <w:rsid w:val="00FA0AB4"/>
    <w:rsid w:val="00FA3079"/>
    <w:rsid w:val="00FA5EDE"/>
    <w:rsid w:val="00FB2613"/>
    <w:rsid w:val="00FB56FC"/>
    <w:rsid w:val="00FB5860"/>
    <w:rsid w:val="00FB7A7F"/>
    <w:rsid w:val="00FC2EEF"/>
    <w:rsid w:val="00FD0B49"/>
    <w:rsid w:val="00FE3672"/>
    <w:rsid w:val="00FF4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9CD5DAA"/>
  <w15:chartTrackingRefBased/>
  <w15:docId w15:val="{CC0E0F6F-9889-47A5-B0E4-4C2F9EC4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984"/>
    <w:rPr>
      <w:rFonts w:ascii="Times New Roman" w:hAnsi="Times New Roman"/>
      <w:sz w:val="24"/>
    </w:rPr>
  </w:style>
  <w:style w:type="paragraph" w:styleId="Heading1">
    <w:name w:val="heading 1"/>
    <w:basedOn w:val="Normal"/>
    <w:next w:val="Normal"/>
    <w:link w:val="Heading1Char"/>
    <w:uiPriority w:val="9"/>
    <w:qFormat/>
    <w:rsid w:val="00D50984"/>
    <w:pPr>
      <w:spacing w:after="0"/>
      <w:jc w:val="center"/>
      <w:outlineLvl w:val="0"/>
    </w:pPr>
    <w:rPr>
      <w:b/>
      <w:bCs/>
    </w:rPr>
  </w:style>
  <w:style w:type="paragraph" w:styleId="Heading2">
    <w:name w:val="heading 2"/>
    <w:basedOn w:val="ListParagraph"/>
    <w:next w:val="Normal"/>
    <w:link w:val="Heading2Char"/>
    <w:uiPriority w:val="9"/>
    <w:unhideWhenUsed/>
    <w:qFormat/>
    <w:rsid w:val="000F6357"/>
    <w:pPr>
      <w:numPr>
        <w:numId w:val="1"/>
      </w:numPr>
      <w:spacing w:after="0"/>
      <w:ind w:left="720"/>
      <w:outlineLvl w:val="1"/>
    </w:pPr>
    <w:rPr>
      <w:b/>
      <w:bCs/>
    </w:rPr>
  </w:style>
  <w:style w:type="paragraph" w:styleId="Heading3">
    <w:name w:val="heading 3"/>
    <w:basedOn w:val="ListParagraph"/>
    <w:next w:val="Normal"/>
    <w:link w:val="Heading3Char"/>
    <w:uiPriority w:val="9"/>
    <w:unhideWhenUsed/>
    <w:qFormat/>
    <w:rsid w:val="00F24B98"/>
    <w:pPr>
      <w:spacing w:after="0" w:line="240" w:lineRule="auto"/>
      <w:ind w:hanging="360"/>
      <w:jc w:val="both"/>
      <w:outlineLvl w:val="2"/>
    </w:pPr>
    <w:rPr>
      <w:rFonts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36B"/>
    <w:rPr>
      <w:rFonts w:ascii="Times New Roman" w:hAnsi="Times New Roman"/>
      <w:sz w:val="24"/>
    </w:rPr>
  </w:style>
  <w:style w:type="paragraph" w:styleId="Footer">
    <w:name w:val="footer"/>
    <w:basedOn w:val="Normal"/>
    <w:link w:val="FooterChar"/>
    <w:uiPriority w:val="99"/>
    <w:unhideWhenUsed/>
    <w:rsid w:val="0038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36B"/>
    <w:rPr>
      <w:rFonts w:ascii="Times New Roman" w:hAnsi="Times New Roman"/>
      <w:sz w:val="24"/>
    </w:rPr>
  </w:style>
  <w:style w:type="character" w:customStyle="1" w:styleId="Heading1Char">
    <w:name w:val="Heading 1 Char"/>
    <w:basedOn w:val="DefaultParagraphFont"/>
    <w:link w:val="Heading1"/>
    <w:uiPriority w:val="9"/>
    <w:rsid w:val="00D50984"/>
    <w:rPr>
      <w:rFonts w:ascii="Times New Roman" w:hAnsi="Times New Roman"/>
      <w:b/>
      <w:bCs/>
      <w:sz w:val="24"/>
    </w:rPr>
  </w:style>
  <w:style w:type="paragraph" w:styleId="ListParagraph">
    <w:name w:val="List Paragraph"/>
    <w:basedOn w:val="Normal"/>
    <w:uiPriority w:val="34"/>
    <w:qFormat/>
    <w:rsid w:val="00D50984"/>
    <w:pPr>
      <w:ind w:left="720"/>
      <w:contextualSpacing/>
    </w:pPr>
  </w:style>
  <w:style w:type="character" w:customStyle="1" w:styleId="Heading2Char">
    <w:name w:val="Heading 2 Char"/>
    <w:basedOn w:val="DefaultParagraphFont"/>
    <w:link w:val="Heading2"/>
    <w:uiPriority w:val="9"/>
    <w:rsid w:val="000F6357"/>
    <w:rPr>
      <w:rFonts w:ascii="Times New Roman" w:hAnsi="Times New Roman"/>
      <w:b/>
      <w:bCs/>
      <w:sz w:val="24"/>
    </w:rPr>
  </w:style>
  <w:style w:type="character" w:styleId="CommentReference">
    <w:name w:val="annotation reference"/>
    <w:basedOn w:val="DefaultParagraphFont"/>
    <w:uiPriority w:val="99"/>
    <w:semiHidden/>
    <w:unhideWhenUsed/>
    <w:rsid w:val="00C617ED"/>
    <w:rPr>
      <w:sz w:val="16"/>
      <w:szCs w:val="16"/>
    </w:rPr>
  </w:style>
  <w:style w:type="paragraph" w:styleId="CommentText">
    <w:name w:val="annotation text"/>
    <w:basedOn w:val="Normal"/>
    <w:link w:val="CommentTextChar"/>
    <w:uiPriority w:val="99"/>
    <w:unhideWhenUsed/>
    <w:rsid w:val="00C617E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C617ED"/>
    <w:rPr>
      <w:sz w:val="20"/>
      <w:szCs w:val="20"/>
    </w:rPr>
  </w:style>
  <w:style w:type="paragraph" w:styleId="FootnoteText">
    <w:name w:val="footnote text"/>
    <w:basedOn w:val="Normal"/>
    <w:link w:val="FootnoteTextChar"/>
    <w:uiPriority w:val="99"/>
    <w:semiHidden/>
    <w:unhideWhenUsed/>
    <w:rsid w:val="00C617E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C617ED"/>
    <w:rPr>
      <w:sz w:val="20"/>
      <w:szCs w:val="20"/>
    </w:rPr>
  </w:style>
  <w:style w:type="character" w:styleId="FootnoteReference">
    <w:name w:val="footnote reference"/>
    <w:basedOn w:val="DefaultParagraphFont"/>
    <w:uiPriority w:val="99"/>
    <w:semiHidden/>
    <w:unhideWhenUsed/>
    <w:rsid w:val="00C617ED"/>
    <w:rPr>
      <w:vertAlign w:val="superscript"/>
    </w:rPr>
  </w:style>
  <w:style w:type="character" w:styleId="Hyperlink">
    <w:name w:val="Hyperlink"/>
    <w:basedOn w:val="DefaultParagraphFont"/>
    <w:uiPriority w:val="99"/>
    <w:unhideWhenUsed/>
    <w:rsid w:val="00C617ED"/>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26872"/>
    <w:rPr>
      <w:rFonts w:ascii="Times New Roman" w:hAnsi="Times New Roman"/>
      <w:b/>
      <w:bCs/>
    </w:rPr>
  </w:style>
  <w:style w:type="character" w:customStyle="1" w:styleId="CommentSubjectChar">
    <w:name w:val="Comment Subject Char"/>
    <w:basedOn w:val="CommentTextChar"/>
    <w:link w:val="CommentSubject"/>
    <w:uiPriority w:val="99"/>
    <w:semiHidden/>
    <w:rsid w:val="00B26872"/>
    <w:rPr>
      <w:rFonts w:ascii="Times New Roman" w:hAnsi="Times New Roman"/>
      <w:b/>
      <w:bCs/>
      <w:sz w:val="20"/>
      <w:szCs w:val="20"/>
    </w:rPr>
  </w:style>
  <w:style w:type="character" w:styleId="UnresolvedMention">
    <w:name w:val="Unresolved Mention"/>
    <w:basedOn w:val="DefaultParagraphFont"/>
    <w:uiPriority w:val="99"/>
    <w:semiHidden/>
    <w:unhideWhenUsed/>
    <w:rsid w:val="002F2E03"/>
    <w:rPr>
      <w:color w:val="605E5C"/>
      <w:shd w:val="clear" w:color="auto" w:fill="E1DFDD"/>
    </w:rPr>
  </w:style>
  <w:style w:type="paragraph" w:styleId="Revision">
    <w:name w:val="Revision"/>
    <w:hidden/>
    <w:uiPriority w:val="99"/>
    <w:semiHidden/>
    <w:rsid w:val="00192CC2"/>
    <w:pPr>
      <w:spacing w:after="0" w:line="240" w:lineRule="auto"/>
    </w:pPr>
    <w:rPr>
      <w:rFonts w:ascii="Times New Roman" w:hAnsi="Times New Roman"/>
      <w:sz w:val="24"/>
    </w:rPr>
  </w:style>
  <w:style w:type="paragraph" w:styleId="NormalWeb">
    <w:name w:val="Normal (Web)"/>
    <w:basedOn w:val="Normal"/>
    <w:uiPriority w:val="99"/>
    <w:semiHidden/>
    <w:unhideWhenUsed/>
    <w:rsid w:val="00405C9B"/>
    <w:pPr>
      <w:spacing w:before="100" w:beforeAutospacing="1" w:after="100" w:afterAutospacing="1" w:line="240" w:lineRule="auto"/>
    </w:pPr>
    <w:rPr>
      <w:rFonts w:eastAsia="Times New Roman" w:cs="Times New Roman"/>
      <w:szCs w:val="24"/>
    </w:rPr>
  </w:style>
  <w:style w:type="character" w:customStyle="1" w:styleId="cf01">
    <w:name w:val="cf01"/>
    <w:basedOn w:val="DefaultParagraphFont"/>
    <w:rsid w:val="00405C9B"/>
    <w:rPr>
      <w:rFonts w:ascii="Segoe UI" w:hAnsi="Segoe UI" w:cs="Segoe UI" w:hint="default"/>
      <w:sz w:val="18"/>
      <w:szCs w:val="18"/>
    </w:rPr>
  </w:style>
  <w:style w:type="character" w:customStyle="1" w:styleId="Heading3Char">
    <w:name w:val="Heading 3 Char"/>
    <w:basedOn w:val="DefaultParagraphFont"/>
    <w:link w:val="Heading3"/>
    <w:uiPriority w:val="9"/>
    <w:rsid w:val="00F24B98"/>
    <w:rPr>
      <w:rFonts w:ascii="Times New Roman" w:hAnsi="Times New Roman" w:cs="Times New Roman"/>
      <w:b/>
      <w:bCs/>
      <w:sz w:val="24"/>
      <w:szCs w:val="24"/>
    </w:rPr>
  </w:style>
  <w:style w:type="paragraph" w:styleId="TOC1">
    <w:name w:val="toc 1"/>
    <w:basedOn w:val="Normal"/>
    <w:next w:val="Normal"/>
    <w:autoRedefine/>
    <w:uiPriority w:val="39"/>
    <w:unhideWhenUsed/>
    <w:rsid w:val="00BD1424"/>
    <w:pPr>
      <w:tabs>
        <w:tab w:val="right" w:leader="dot" w:pos="9350"/>
      </w:tabs>
      <w:spacing w:after="100"/>
      <w:jc w:val="center"/>
    </w:pPr>
  </w:style>
  <w:style w:type="paragraph" w:styleId="TOC2">
    <w:name w:val="toc 2"/>
    <w:basedOn w:val="Normal"/>
    <w:next w:val="Normal"/>
    <w:autoRedefine/>
    <w:uiPriority w:val="39"/>
    <w:unhideWhenUsed/>
    <w:rsid w:val="00D648AB"/>
    <w:pPr>
      <w:tabs>
        <w:tab w:val="left" w:pos="660"/>
        <w:tab w:val="right" w:leader="dot" w:pos="9350"/>
      </w:tabs>
      <w:spacing w:after="100"/>
      <w:ind w:left="720" w:hanging="480"/>
    </w:pPr>
  </w:style>
  <w:style w:type="paragraph" w:styleId="TOC3">
    <w:name w:val="toc 3"/>
    <w:basedOn w:val="Normal"/>
    <w:next w:val="Normal"/>
    <w:autoRedefine/>
    <w:uiPriority w:val="39"/>
    <w:unhideWhenUsed/>
    <w:rsid w:val="00B24A60"/>
    <w:pPr>
      <w:tabs>
        <w:tab w:val="left" w:pos="1100"/>
        <w:tab w:val="right" w:leader="dot" w:pos="9350"/>
      </w:tabs>
      <w:spacing w:after="100"/>
      <w:ind w:left="1170" w:hanging="690"/>
    </w:pPr>
  </w:style>
  <w:style w:type="paragraph" w:customStyle="1" w:styleId="Default">
    <w:name w:val="Default"/>
    <w:rsid w:val="008045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727580">
      <w:bodyDiv w:val="1"/>
      <w:marLeft w:val="0"/>
      <w:marRight w:val="0"/>
      <w:marTop w:val="0"/>
      <w:marBottom w:val="0"/>
      <w:divBdr>
        <w:top w:val="none" w:sz="0" w:space="0" w:color="auto"/>
        <w:left w:val="none" w:sz="0" w:space="0" w:color="auto"/>
        <w:bottom w:val="none" w:sz="0" w:space="0" w:color="auto"/>
        <w:right w:val="none" w:sz="0" w:space="0" w:color="auto"/>
      </w:divBdr>
    </w:div>
    <w:div w:id="564485336">
      <w:bodyDiv w:val="1"/>
      <w:marLeft w:val="0"/>
      <w:marRight w:val="0"/>
      <w:marTop w:val="0"/>
      <w:marBottom w:val="0"/>
      <w:divBdr>
        <w:top w:val="none" w:sz="0" w:space="0" w:color="auto"/>
        <w:left w:val="none" w:sz="0" w:space="0" w:color="auto"/>
        <w:bottom w:val="none" w:sz="0" w:space="0" w:color="auto"/>
        <w:right w:val="none" w:sz="0" w:space="0" w:color="auto"/>
      </w:divBdr>
    </w:div>
    <w:div w:id="658269274">
      <w:bodyDiv w:val="1"/>
      <w:marLeft w:val="0"/>
      <w:marRight w:val="0"/>
      <w:marTop w:val="0"/>
      <w:marBottom w:val="0"/>
      <w:divBdr>
        <w:top w:val="none" w:sz="0" w:space="0" w:color="auto"/>
        <w:left w:val="none" w:sz="0" w:space="0" w:color="auto"/>
        <w:bottom w:val="none" w:sz="0" w:space="0" w:color="auto"/>
        <w:right w:val="none" w:sz="0" w:space="0" w:color="auto"/>
      </w:divBdr>
    </w:div>
    <w:div w:id="712770826">
      <w:bodyDiv w:val="1"/>
      <w:marLeft w:val="0"/>
      <w:marRight w:val="0"/>
      <w:marTop w:val="0"/>
      <w:marBottom w:val="0"/>
      <w:divBdr>
        <w:top w:val="none" w:sz="0" w:space="0" w:color="auto"/>
        <w:left w:val="none" w:sz="0" w:space="0" w:color="auto"/>
        <w:bottom w:val="none" w:sz="0" w:space="0" w:color="auto"/>
        <w:right w:val="none" w:sz="0" w:space="0" w:color="auto"/>
      </w:divBdr>
    </w:div>
    <w:div w:id="1020621508">
      <w:bodyDiv w:val="1"/>
      <w:marLeft w:val="0"/>
      <w:marRight w:val="0"/>
      <w:marTop w:val="0"/>
      <w:marBottom w:val="0"/>
      <w:divBdr>
        <w:top w:val="none" w:sz="0" w:space="0" w:color="auto"/>
        <w:left w:val="none" w:sz="0" w:space="0" w:color="auto"/>
        <w:bottom w:val="none" w:sz="0" w:space="0" w:color="auto"/>
        <w:right w:val="none" w:sz="0" w:space="0" w:color="auto"/>
      </w:divBdr>
      <w:divsChild>
        <w:div w:id="1473403453">
          <w:marLeft w:val="0"/>
          <w:marRight w:val="0"/>
          <w:marTop w:val="240"/>
          <w:marBottom w:val="0"/>
          <w:divBdr>
            <w:top w:val="none" w:sz="0" w:space="0" w:color="auto"/>
            <w:left w:val="none" w:sz="0" w:space="0" w:color="auto"/>
            <w:bottom w:val="none" w:sz="0" w:space="0" w:color="auto"/>
            <w:right w:val="none" w:sz="0" w:space="0" w:color="auto"/>
          </w:divBdr>
          <w:divsChild>
            <w:div w:id="995037824">
              <w:marLeft w:val="0"/>
              <w:marRight w:val="0"/>
              <w:marTop w:val="0"/>
              <w:marBottom w:val="0"/>
              <w:divBdr>
                <w:top w:val="none" w:sz="0" w:space="0" w:color="auto"/>
                <w:left w:val="none" w:sz="0" w:space="0" w:color="auto"/>
                <w:bottom w:val="none" w:sz="0" w:space="0" w:color="auto"/>
                <w:right w:val="none" w:sz="0" w:space="0" w:color="auto"/>
              </w:divBdr>
              <w:divsChild>
                <w:div w:id="16216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37716">
          <w:marLeft w:val="0"/>
          <w:marRight w:val="0"/>
          <w:marTop w:val="240"/>
          <w:marBottom w:val="0"/>
          <w:divBdr>
            <w:top w:val="none" w:sz="0" w:space="0" w:color="auto"/>
            <w:left w:val="none" w:sz="0" w:space="0" w:color="auto"/>
            <w:bottom w:val="none" w:sz="0" w:space="0" w:color="auto"/>
            <w:right w:val="none" w:sz="0" w:space="0" w:color="auto"/>
          </w:divBdr>
          <w:divsChild>
            <w:div w:id="1741442609">
              <w:marLeft w:val="0"/>
              <w:marRight w:val="0"/>
              <w:marTop w:val="0"/>
              <w:marBottom w:val="0"/>
              <w:divBdr>
                <w:top w:val="none" w:sz="0" w:space="0" w:color="auto"/>
                <w:left w:val="none" w:sz="0" w:space="0" w:color="auto"/>
                <w:bottom w:val="none" w:sz="0" w:space="0" w:color="auto"/>
                <w:right w:val="none" w:sz="0" w:space="0" w:color="auto"/>
              </w:divBdr>
              <w:divsChild>
                <w:div w:id="1738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97844">
          <w:marLeft w:val="0"/>
          <w:marRight w:val="0"/>
          <w:marTop w:val="240"/>
          <w:marBottom w:val="0"/>
          <w:divBdr>
            <w:top w:val="none" w:sz="0" w:space="0" w:color="auto"/>
            <w:left w:val="none" w:sz="0" w:space="0" w:color="auto"/>
            <w:bottom w:val="none" w:sz="0" w:space="0" w:color="auto"/>
            <w:right w:val="none" w:sz="0" w:space="0" w:color="auto"/>
          </w:divBdr>
          <w:divsChild>
            <w:div w:id="1597834518">
              <w:marLeft w:val="0"/>
              <w:marRight w:val="0"/>
              <w:marTop w:val="0"/>
              <w:marBottom w:val="0"/>
              <w:divBdr>
                <w:top w:val="none" w:sz="0" w:space="0" w:color="auto"/>
                <w:left w:val="none" w:sz="0" w:space="0" w:color="auto"/>
                <w:bottom w:val="none" w:sz="0" w:space="0" w:color="auto"/>
                <w:right w:val="none" w:sz="0" w:space="0" w:color="auto"/>
              </w:divBdr>
              <w:divsChild>
                <w:div w:id="144041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91122">
      <w:bodyDiv w:val="1"/>
      <w:marLeft w:val="0"/>
      <w:marRight w:val="0"/>
      <w:marTop w:val="0"/>
      <w:marBottom w:val="0"/>
      <w:divBdr>
        <w:top w:val="none" w:sz="0" w:space="0" w:color="auto"/>
        <w:left w:val="none" w:sz="0" w:space="0" w:color="auto"/>
        <w:bottom w:val="none" w:sz="0" w:space="0" w:color="auto"/>
        <w:right w:val="none" w:sz="0" w:space="0" w:color="auto"/>
      </w:divBdr>
    </w:div>
    <w:div w:id="1763065686">
      <w:bodyDiv w:val="1"/>
      <w:marLeft w:val="0"/>
      <w:marRight w:val="0"/>
      <w:marTop w:val="0"/>
      <w:marBottom w:val="0"/>
      <w:divBdr>
        <w:top w:val="none" w:sz="0" w:space="0" w:color="auto"/>
        <w:left w:val="none" w:sz="0" w:space="0" w:color="auto"/>
        <w:bottom w:val="none" w:sz="0" w:space="0" w:color="auto"/>
        <w:right w:val="none" w:sz="0" w:space="0" w:color="auto"/>
      </w:divBdr>
      <w:divsChild>
        <w:div w:id="715542428">
          <w:marLeft w:val="0"/>
          <w:marRight w:val="0"/>
          <w:marTop w:val="240"/>
          <w:marBottom w:val="0"/>
          <w:divBdr>
            <w:top w:val="none" w:sz="0" w:space="0" w:color="auto"/>
            <w:left w:val="none" w:sz="0" w:space="0" w:color="auto"/>
            <w:bottom w:val="none" w:sz="0" w:space="0" w:color="auto"/>
            <w:right w:val="none" w:sz="0" w:space="0" w:color="auto"/>
          </w:divBdr>
          <w:divsChild>
            <w:div w:id="1301114103">
              <w:marLeft w:val="0"/>
              <w:marRight w:val="0"/>
              <w:marTop w:val="0"/>
              <w:marBottom w:val="0"/>
              <w:divBdr>
                <w:top w:val="none" w:sz="0" w:space="0" w:color="auto"/>
                <w:left w:val="none" w:sz="0" w:space="0" w:color="auto"/>
                <w:bottom w:val="none" w:sz="0" w:space="0" w:color="auto"/>
                <w:right w:val="none" w:sz="0" w:space="0" w:color="auto"/>
              </w:divBdr>
              <w:divsChild>
                <w:div w:id="1157693545">
                  <w:marLeft w:val="0"/>
                  <w:marRight w:val="0"/>
                  <w:marTop w:val="0"/>
                  <w:marBottom w:val="0"/>
                  <w:divBdr>
                    <w:top w:val="none" w:sz="0" w:space="0" w:color="auto"/>
                    <w:left w:val="none" w:sz="0" w:space="0" w:color="auto"/>
                    <w:bottom w:val="none" w:sz="0" w:space="0" w:color="auto"/>
                    <w:right w:val="none" w:sz="0" w:space="0" w:color="auto"/>
                  </w:divBdr>
                </w:div>
              </w:divsChild>
            </w:div>
            <w:div w:id="1964454326">
              <w:marLeft w:val="0"/>
              <w:marRight w:val="0"/>
              <w:marTop w:val="240"/>
              <w:marBottom w:val="0"/>
              <w:divBdr>
                <w:top w:val="none" w:sz="0" w:space="0" w:color="auto"/>
                <w:left w:val="none" w:sz="0" w:space="0" w:color="auto"/>
                <w:bottom w:val="none" w:sz="0" w:space="0" w:color="auto"/>
                <w:right w:val="none" w:sz="0" w:space="0" w:color="auto"/>
              </w:divBdr>
              <w:divsChild>
                <w:div w:id="16611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704">
          <w:marLeft w:val="0"/>
          <w:marRight w:val="0"/>
          <w:marTop w:val="240"/>
          <w:marBottom w:val="0"/>
          <w:divBdr>
            <w:top w:val="none" w:sz="0" w:space="0" w:color="auto"/>
            <w:left w:val="none" w:sz="0" w:space="0" w:color="auto"/>
            <w:bottom w:val="none" w:sz="0" w:space="0" w:color="auto"/>
            <w:right w:val="none" w:sz="0" w:space="0" w:color="auto"/>
          </w:divBdr>
          <w:divsChild>
            <w:div w:id="491336547">
              <w:marLeft w:val="0"/>
              <w:marRight w:val="0"/>
              <w:marTop w:val="0"/>
              <w:marBottom w:val="0"/>
              <w:divBdr>
                <w:top w:val="none" w:sz="0" w:space="0" w:color="auto"/>
                <w:left w:val="none" w:sz="0" w:space="0" w:color="auto"/>
                <w:bottom w:val="none" w:sz="0" w:space="0" w:color="auto"/>
                <w:right w:val="none" w:sz="0" w:space="0" w:color="auto"/>
              </w:divBdr>
              <w:divsChild>
                <w:div w:id="567231317">
                  <w:marLeft w:val="0"/>
                  <w:marRight w:val="0"/>
                  <w:marTop w:val="0"/>
                  <w:marBottom w:val="0"/>
                  <w:divBdr>
                    <w:top w:val="none" w:sz="0" w:space="0" w:color="auto"/>
                    <w:left w:val="none" w:sz="0" w:space="0" w:color="auto"/>
                    <w:bottom w:val="none" w:sz="0" w:space="0" w:color="auto"/>
                    <w:right w:val="none" w:sz="0" w:space="0" w:color="auto"/>
                  </w:divBdr>
                </w:div>
              </w:divsChild>
            </w:div>
            <w:div w:id="61756198">
              <w:marLeft w:val="0"/>
              <w:marRight w:val="0"/>
              <w:marTop w:val="240"/>
              <w:marBottom w:val="0"/>
              <w:divBdr>
                <w:top w:val="none" w:sz="0" w:space="0" w:color="auto"/>
                <w:left w:val="none" w:sz="0" w:space="0" w:color="auto"/>
                <w:bottom w:val="none" w:sz="0" w:space="0" w:color="auto"/>
                <w:right w:val="none" w:sz="0" w:space="0" w:color="auto"/>
              </w:divBdr>
              <w:divsChild>
                <w:div w:id="18829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160342">
          <w:marLeft w:val="0"/>
          <w:marRight w:val="0"/>
          <w:marTop w:val="240"/>
          <w:marBottom w:val="0"/>
          <w:divBdr>
            <w:top w:val="none" w:sz="0" w:space="0" w:color="auto"/>
            <w:left w:val="none" w:sz="0" w:space="0" w:color="auto"/>
            <w:bottom w:val="none" w:sz="0" w:space="0" w:color="auto"/>
            <w:right w:val="none" w:sz="0" w:space="0" w:color="auto"/>
          </w:divBdr>
          <w:divsChild>
            <w:div w:id="41484706">
              <w:marLeft w:val="0"/>
              <w:marRight w:val="0"/>
              <w:marTop w:val="0"/>
              <w:marBottom w:val="0"/>
              <w:divBdr>
                <w:top w:val="none" w:sz="0" w:space="0" w:color="auto"/>
                <w:left w:val="none" w:sz="0" w:space="0" w:color="auto"/>
                <w:bottom w:val="none" w:sz="0" w:space="0" w:color="auto"/>
                <w:right w:val="none" w:sz="0" w:space="0" w:color="auto"/>
              </w:divBdr>
              <w:divsChild>
                <w:div w:id="700473297">
                  <w:marLeft w:val="0"/>
                  <w:marRight w:val="0"/>
                  <w:marTop w:val="0"/>
                  <w:marBottom w:val="0"/>
                  <w:divBdr>
                    <w:top w:val="none" w:sz="0" w:space="0" w:color="auto"/>
                    <w:left w:val="none" w:sz="0" w:space="0" w:color="auto"/>
                    <w:bottom w:val="none" w:sz="0" w:space="0" w:color="auto"/>
                    <w:right w:val="none" w:sz="0" w:space="0" w:color="auto"/>
                  </w:divBdr>
                </w:div>
              </w:divsChild>
            </w:div>
            <w:div w:id="1741127015">
              <w:marLeft w:val="0"/>
              <w:marRight w:val="0"/>
              <w:marTop w:val="240"/>
              <w:marBottom w:val="0"/>
              <w:divBdr>
                <w:top w:val="none" w:sz="0" w:space="0" w:color="auto"/>
                <w:left w:val="none" w:sz="0" w:space="0" w:color="auto"/>
                <w:bottom w:val="none" w:sz="0" w:space="0" w:color="auto"/>
                <w:right w:val="none" w:sz="0" w:space="0" w:color="auto"/>
              </w:divBdr>
              <w:divsChild>
                <w:div w:id="6029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47010">
          <w:marLeft w:val="0"/>
          <w:marRight w:val="0"/>
          <w:marTop w:val="240"/>
          <w:marBottom w:val="0"/>
          <w:divBdr>
            <w:top w:val="none" w:sz="0" w:space="0" w:color="auto"/>
            <w:left w:val="none" w:sz="0" w:space="0" w:color="auto"/>
            <w:bottom w:val="none" w:sz="0" w:space="0" w:color="auto"/>
            <w:right w:val="none" w:sz="0" w:space="0" w:color="auto"/>
          </w:divBdr>
          <w:divsChild>
            <w:div w:id="1280406351">
              <w:marLeft w:val="0"/>
              <w:marRight w:val="0"/>
              <w:marTop w:val="0"/>
              <w:marBottom w:val="0"/>
              <w:divBdr>
                <w:top w:val="none" w:sz="0" w:space="0" w:color="auto"/>
                <w:left w:val="none" w:sz="0" w:space="0" w:color="auto"/>
                <w:bottom w:val="none" w:sz="0" w:space="0" w:color="auto"/>
                <w:right w:val="none" w:sz="0" w:space="0" w:color="auto"/>
              </w:divBdr>
              <w:divsChild>
                <w:div w:id="1000159691">
                  <w:marLeft w:val="0"/>
                  <w:marRight w:val="0"/>
                  <w:marTop w:val="0"/>
                  <w:marBottom w:val="0"/>
                  <w:divBdr>
                    <w:top w:val="none" w:sz="0" w:space="0" w:color="auto"/>
                    <w:left w:val="none" w:sz="0" w:space="0" w:color="auto"/>
                    <w:bottom w:val="none" w:sz="0" w:space="0" w:color="auto"/>
                    <w:right w:val="none" w:sz="0" w:space="0" w:color="auto"/>
                  </w:divBdr>
                </w:div>
              </w:divsChild>
            </w:div>
            <w:div w:id="1793397065">
              <w:marLeft w:val="0"/>
              <w:marRight w:val="0"/>
              <w:marTop w:val="240"/>
              <w:marBottom w:val="0"/>
              <w:divBdr>
                <w:top w:val="none" w:sz="0" w:space="0" w:color="auto"/>
                <w:left w:val="none" w:sz="0" w:space="0" w:color="auto"/>
                <w:bottom w:val="none" w:sz="0" w:space="0" w:color="auto"/>
                <w:right w:val="none" w:sz="0" w:space="0" w:color="auto"/>
              </w:divBdr>
              <w:divsChild>
                <w:div w:id="14420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16741">
          <w:marLeft w:val="0"/>
          <w:marRight w:val="0"/>
          <w:marTop w:val="240"/>
          <w:marBottom w:val="0"/>
          <w:divBdr>
            <w:top w:val="none" w:sz="0" w:space="0" w:color="auto"/>
            <w:left w:val="none" w:sz="0" w:space="0" w:color="auto"/>
            <w:bottom w:val="none" w:sz="0" w:space="0" w:color="auto"/>
            <w:right w:val="none" w:sz="0" w:space="0" w:color="auto"/>
          </w:divBdr>
          <w:divsChild>
            <w:div w:id="1793554371">
              <w:marLeft w:val="0"/>
              <w:marRight w:val="0"/>
              <w:marTop w:val="0"/>
              <w:marBottom w:val="0"/>
              <w:divBdr>
                <w:top w:val="none" w:sz="0" w:space="0" w:color="auto"/>
                <w:left w:val="none" w:sz="0" w:space="0" w:color="auto"/>
                <w:bottom w:val="none" w:sz="0" w:space="0" w:color="auto"/>
                <w:right w:val="none" w:sz="0" w:space="0" w:color="auto"/>
              </w:divBdr>
              <w:divsChild>
                <w:div w:id="37895545">
                  <w:marLeft w:val="0"/>
                  <w:marRight w:val="0"/>
                  <w:marTop w:val="0"/>
                  <w:marBottom w:val="0"/>
                  <w:divBdr>
                    <w:top w:val="none" w:sz="0" w:space="0" w:color="auto"/>
                    <w:left w:val="none" w:sz="0" w:space="0" w:color="auto"/>
                    <w:bottom w:val="none" w:sz="0" w:space="0" w:color="auto"/>
                    <w:right w:val="none" w:sz="0" w:space="0" w:color="auto"/>
                  </w:divBdr>
                </w:div>
              </w:divsChild>
            </w:div>
            <w:div w:id="1193759869">
              <w:marLeft w:val="0"/>
              <w:marRight w:val="0"/>
              <w:marTop w:val="240"/>
              <w:marBottom w:val="0"/>
              <w:divBdr>
                <w:top w:val="none" w:sz="0" w:space="0" w:color="auto"/>
                <w:left w:val="none" w:sz="0" w:space="0" w:color="auto"/>
                <w:bottom w:val="none" w:sz="0" w:space="0" w:color="auto"/>
                <w:right w:val="none" w:sz="0" w:space="0" w:color="auto"/>
              </w:divBdr>
              <w:divsChild>
                <w:div w:id="76168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4743">
          <w:marLeft w:val="0"/>
          <w:marRight w:val="0"/>
          <w:marTop w:val="240"/>
          <w:marBottom w:val="0"/>
          <w:divBdr>
            <w:top w:val="none" w:sz="0" w:space="0" w:color="auto"/>
            <w:left w:val="none" w:sz="0" w:space="0" w:color="auto"/>
            <w:bottom w:val="none" w:sz="0" w:space="0" w:color="auto"/>
            <w:right w:val="none" w:sz="0" w:space="0" w:color="auto"/>
          </w:divBdr>
          <w:divsChild>
            <w:div w:id="1202285152">
              <w:marLeft w:val="0"/>
              <w:marRight w:val="0"/>
              <w:marTop w:val="0"/>
              <w:marBottom w:val="0"/>
              <w:divBdr>
                <w:top w:val="none" w:sz="0" w:space="0" w:color="auto"/>
                <w:left w:val="none" w:sz="0" w:space="0" w:color="auto"/>
                <w:bottom w:val="none" w:sz="0" w:space="0" w:color="auto"/>
                <w:right w:val="none" w:sz="0" w:space="0" w:color="auto"/>
              </w:divBdr>
              <w:divsChild>
                <w:div w:id="237786450">
                  <w:marLeft w:val="0"/>
                  <w:marRight w:val="0"/>
                  <w:marTop w:val="0"/>
                  <w:marBottom w:val="0"/>
                  <w:divBdr>
                    <w:top w:val="none" w:sz="0" w:space="0" w:color="auto"/>
                    <w:left w:val="none" w:sz="0" w:space="0" w:color="auto"/>
                    <w:bottom w:val="none" w:sz="0" w:space="0" w:color="auto"/>
                    <w:right w:val="none" w:sz="0" w:space="0" w:color="auto"/>
                  </w:divBdr>
                </w:div>
              </w:divsChild>
            </w:div>
            <w:div w:id="365984935">
              <w:marLeft w:val="0"/>
              <w:marRight w:val="0"/>
              <w:marTop w:val="240"/>
              <w:marBottom w:val="0"/>
              <w:divBdr>
                <w:top w:val="none" w:sz="0" w:space="0" w:color="auto"/>
                <w:left w:val="none" w:sz="0" w:space="0" w:color="auto"/>
                <w:bottom w:val="none" w:sz="0" w:space="0" w:color="auto"/>
                <w:right w:val="none" w:sz="0" w:space="0" w:color="auto"/>
              </w:divBdr>
              <w:divsChild>
                <w:div w:id="4638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38694">
          <w:marLeft w:val="0"/>
          <w:marRight w:val="0"/>
          <w:marTop w:val="240"/>
          <w:marBottom w:val="0"/>
          <w:divBdr>
            <w:top w:val="none" w:sz="0" w:space="0" w:color="auto"/>
            <w:left w:val="none" w:sz="0" w:space="0" w:color="auto"/>
            <w:bottom w:val="none" w:sz="0" w:space="0" w:color="auto"/>
            <w:right w:val="none" w:sz="0" w:space="0" w:color="auto"/>
          </w:divBdr>
          <w:divsChild>
            <w:div w:id="705719670">
              <w:marLeft w:val="0"/>
              <w:marRight w:val="0"/>
              <w:marTop w:val="0"/>
              <w:marBottom w:val="0"/>
              <w:divBdr>
                <w:top w:val="none" w:sz="0" w:space="0" w:color="auto"/>
                <w:left w:val="none" w:sz="0" w:space="0" w:color="auto"/>
                <w:bottom w:val="none" w:sz="0" w:space="0" w:color="auto"/>
                <w:right w:val="none" w:sz="0" w:space="0" w:color="auto"/>
              </w:divBdr>
              <w:divsChild>
                <w:div w:id="829642686">
                  <w:marLeft w:val="0"/>
                  <w:marRight w:val="0"/>
                  <w:marTop w:val="0"/>
                  <w:marBottom w:val="0"/>
                  <w:divBdr>
                    <w:top w:val="none" w:sz="0" w:space="0" w:color="auto"/>
                    <w:left w:val="none" w:sz="0" w:space="0" w:color="auto"/>
                    <w:bottom w:val="none" w:sz="0" w:space="0" w:color="auto"/>
                    <w:right w:val="none" w:sz="0" w:space="0" w:color="auto"/>
                  </w:divBdr>
                </w:div>
              </w:divsChild>
            </w:div>
            <w:div w:id="1957329716">
              <w:marLeft w:val="0"/>
              <w:marRight w:val="0"/>
              <w:marTop w:val="240"/>
              <w:marBottom w:val="0"/>
              <w:divBdr>
                <w:top w:val="none" w:sz="0" w:space="0" w:color="auto"/>
                <w:left w:val="none" w:sz="0" w:space="0" w:color="auto"/>
                <w:bottom w:val="none" w:sz="0" w:space="0" w:color="auto"/>
                <w:right w:val="none" w:sz="0" w:space="0" w:color="auto"/>
              </w:divBdr>
              <w:divsChild>
                <w:div w:id="199629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57903">
          <w:marLeft w:val="0"/>
          <w:marRight w:val="0"/>
          <w:marTop w:val="240"/>
          <w:marBottom w:val="0"/>
          <w:divBdr>
            <w:top w:val="none" w:sz="0" w:space="0" w:color="auto"/>
            <w:left w:val="none" w:sz="0" w:space="0" w:color="auto"/>
            <w:bottom w:val="none" w:sz="0" w:space="0" w:color="auto"/>
            <w:right w:val="none" w:sz="0" w:space="0" w:color="auto"/>
          </w:divBdr>
          <w:divsChild>
            <w:div w:id="541989697">
              <w:marLeft w:val="0"/>
              <w:marRight w:val="0"/>
              <w:marTop w:val="0"/>
              <w:marBottom w:val="0"/>
              <w:divBdr>
                <w:top w:val="none" w:sz="0" w:space="0" w:color="auto"/>
                <w:left w:val="none" w:sz="0" w:space="0" w:color="auto"/>
                <w:bottom w:val="none" w:sz="0" w:space="0" w:color="auto"/>
                <w:right w:val="none" w:sz="0" w:space="0" w:color="auto"/>
              </w:divBdr>
              <w:divsChild>
                <w:div w:id="417096401">
                  <w:marLeft w:val="0"/>
                  <w:marRight w:val="0"/>
                  <w:marTop w:val="0"/>
                  <w:marBottom w:val="0"/>
                  <w:divBdr>
                    <w:top w:val="none" w:sz="0" w:space="0" w:color="auto"/>
                    <w:left w:val="none" w:sz="0" w:space="0" w:color="auto"/>
                    <w:bottom w:val="none" w:sz="0" w:space="0" w:color="auto"/>
                    <w:right w:val="none" w:sz="0" w:space="0" w:color="auto"/>
                  </w:divBdr>
                </w:div>
              </w:divsChild>
            </w:div>
            <w:div w:id="573047001">
              <w:marLeft w:val="0"/>
              <w:marRight w:val="0"/>
              <w:marTop w:val="240"/>
              <w:marBottom w:val="0"/>
              <w:divBdr>
                <w:top w:val="none" w:sz="0" w:space="0" w:color="auto"/>
                <w:left w:val="none" w:sz="0" w:space="0" w:color="auto"/>
                <w:bottom w:val="none" w:sz="0" w:space="0" w:color="auto"/>
                <w:right w:val="none" w:sz="0" w:space="0" w:color="auto"/>
              </w:divBdr>
              <w:divsChild>
                <w:div w:id="65295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7296">
          <w:marLeft w:val="0"/>
          <w:marRight w:val="0"/>
          <w:marTop w:val="240"/>
          <w:marBottom w:val="0"/>
          <w:divBdr>
            <w:top w:val="none" w:sz="0" w:space="0" w:color="auto"/>
            <w:left w:val="none" w:sz="0" w:space="0" w:color="auto"/>
            <w:bottom w:val="none" w:sz="0" w:space="0" w:color="auto"/>
            <w:right w:val="none" w:sz="0" w:space="0" w:color="auto"/>
          </w:divBdr>
          <w:divsChild>
            <w:div w:id="436028675">
              <w:marLeft w:val="0"/>
              <w:marRight w:val="0"/>
              <w:marTop w:val="0"/>
              <w:marBottom w:val="0"/>
              <w:divBdr>
                <w:top w:val="none" w:sz="0" w:space="0" w:color="auto"/>
                <w:left w:val="none" w:sz="0" w:space="0" w:color="auto"/>
                <w:bottom w:val="none" w:sz="0" w:space="0" w:color="auto"/>
                <w:right w:val="none" w:sz="0" w:space="0" w:color="auto"/>
              </w:divBdr>
              <w:divsChild>
                <w:div w:id="1473987319">
                  <w:marLeft w:val="0"/>
                  <w:marRight w:val="0"/>
                  <w:marTop w:val="0"/>
                  <w:marBottom w:val="0"/>
                  <w:divBdr>
                    <w:top w:val="none" w:sz="0" w:space="0" w:color="auto"/>
                    <w:left w:val="none" w:sz="0" w:space="0" w:color="auto"/>
                    <w:bottom w:val="none" w:sz="0" w:space="0" w:color="auto"/>
                    <w:right w:val="none" w:sz="0" w:space="0" w:color="auto"/>
                  </w:divBdr>
                </w:div>
              </w:divsChild>
            </w:div>
            <w:div w:id="902914192">
              <w:marLeft w:val="0"/>
              <w:marRight w:val="0"/>
              <w:marTop w:val="240"/>
              <w:marBottom w:val="0"/>
              <w:divBdr>
                <w:top w:val="none" w:sz="0" w:space="0" w:color="auto"/>
                <w:left w:val="none" w:sz="0" w:space="0" w:color="auto"/>
                <w:bottom w:val="none" w:sz="0" w:space="0" w:color="auto"/>
                <w:right w:val="none" w:sz="0" w:space="0" w:color="auto"/>
              </w:divBdr>
              <w:divsChild>
                <w:div w:id="6629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2362">
      <w:bodyDiv w:val="1"/>
      <w:marLeft w:val="0"/>
      <w:marRight w:val="0"/>
      <w:marTop w:val="0"/>
      <w:marBottom w:val="0"/>
      <w:divBdr>
        <w:top w:val="none" w:sz="0" w:space="0" w:color="auto"/>
        <w:left w:val="none" w:sz="0" w:space="0" w:color="auto"/>
        <w:bottom w:val="none" w:sz="0" w:space="0" w:color="auto"/>
        <w:right w:val="none" w:sz="0" w:space="0" w:color="auto"/>
      </w:divBdr>
    </w:div>
    <w:div w:id="1933001958">
      <w:bodyDiv w:val="1"/>
      <w:marLeft w:val="0"/>
      <w:marRight w:val="0"/>
      <w:marTop w:val="0"/>
      <w:marBottom w:val="0"/>
      <w:divBdr>
        <w:top w:val="none" w:sz="0" w:space="0" w:color="auto"/>
        <w:left w:val="none" w:sz="0" w:space="0" w:color="auto"/>
        <w:bottom w:val="none" w:sz="0" w:space="0" w:color="auto"/>
        <w:right w:val="none" w:sz="0" w:space="0" w:color="auto"/>
      </w:divBdr>
    </w:div>
    <w:div w:id="202165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gonzales@montand.com" TargetMode="External"/><Relationship Id="rId18" Type="http://schemas.openxmlformats.org/officeDocument/2006/relationships/hyperlink" Target="mailto:ana.gutierrez@hoganlovells.com" TargetMode="External"/><Relationship Id="rId26" Type="http://schemas.openxmlformats.org/officeDocument/2006/relationships/hyperlink" Target="mailto:mnykiel@wildearthguardians.org" TargetMode="External"/><Relationship Id="rId39" Type="http://schemas.openxmlformats.org/officeDocument/2006/relationships/hyperlink" Target="mailto:pacyniak@law.unm.edu" TargetMode="External"/><Relationship Id="rId3" Type="http://schemas.openxmlformats.org/officeDocument/2006/relationships/styles" Target="styles.xml"/><Relationship Id="rId21" Type="http://schemas.openxmlformats.org/officeDocument/2006/relationships/hyperlink" Target="mailto:ehiser@hiserjoy.com" TargetMode="External"/><Relationship Id="rId34" Type="http://schemas.openxmlformats.org/officeDocument/2006/relationships/hyperlink" Target="mailto:ccolclasure@bwenergylaw.com" TargetMode="External"/><Relationship Id="rId42" Type="http://schemas.openxmlformats.org/officeDocument/2006/relationships/hyperlink" Target="mailto:whit.swift@bracewell.com" TargetMode="External"/><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olson@montand.com" TargetMode="External"/><Relationship Id="rId17" Type="http://schemas.openxmlformats.org/officeDocument/2006/relationships/hyperlink" Target="mailto:david@baakelaw.com" TargetMode="External"/><Relationship Id="rId25" Type="http://schemas.openxmlformats.org/officeDocument/2006/relationships/hyperlink" Target="mailto:DLM@gknet.com" TargetMode="External"/><Relationship Id="rId33" Type="http://schemas.openxmlformats.org/officeDocument/2006/relationships/hyperlink" Target="mailto:Matthias.Sayer@nglep.com" TargetMode="External"/><Relationship Id="rId38" Type="http://schemas.openxmlformats.org/officeDocument/2006/relationships/hyperlink" Target="mailto:johnsoke@law.unm.edu" TargetMode="External"/><Relationship Id="rId46" Type="http://schemas.openxmlformats.org/officeDocument/2006/relationships/hyperlink" Target="mailto:Felicia.L.Orth@gmail.com" TargetMode="External"/><Relationship Id="rId2" Type="http://schemas.openxmlformats.org/officeDocument/2006/relationships/numbering" Target="numbering.xml"/><Relationship Id="rId16" Type="http://schemas.openxmlformats.org/officeDocument/2006/relationships/hyperlink" Target="mailto:fox@westemlaw.org" TargetMode="External"/><Relationship Id="rId20" Type="http://schemas.openxmlformats.org/officeDocument/2006/relationships/hyperlink" Target="mailto:elizabeth@delonelaw.com" TargetMode="External"/><Relationship Id="rId29" Type="http://schemas.openxmlformats.org/officeDocument/2006/relationships/hyperlink" Target="mailto:cdesaillan@nmelc.org" TargetMode="External"/><Relationship Id="rId41" Type="http://schemas.openxmlformats.org/officeDocument/2006/relationships/hyperlink" Target="mailto:tim.wilkins@bracewel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rose@montand.com" TargetMode="External"/><Relationship Id="rId24" Type="http://schemas.openxmlformats.org/officeDocument/2006/relationships/hyperlink" Target="mailto:andrew.knight@state.nm.us" TargetMode="External"/><Relationship Id="rId32" Type="http://schemas.openxmlformats.org/officeDocument/2006/relationships/hyperlink" Target="mailto:shpallc@gtlaw.com" TargetMode="External"/><Relationship Id="rId37" Type="http://schemas.openxmlformats.org/officeDocument/2006/relationships/hyperlink" Target="mailto:jaynesda@law.unm.edu" TargetMode="External"/><Relationship Id="rId40" Type="http://schemas.openxmlformats.org/officeDocument/2006/relationships/hyperlink" Target="mailto:jeff.holmstead@bracewell.com" TargetMode="External"/><Relationship Id="rId45" Type="http://schemas.openxmlformats.org/officeDocument/2006/relationships/hyperlink" Target="mailto:Witherspoon_leslie_h@solarturbines.com" TargetMode="External"/><Relationship Id="rId5" Type="http://schemas.openxmlformats.org/officeDocument/2006/relationships/webSettings" Target="webSettings.xml"/><Relationship Id="rId15" Type="http://schemas.openxmlformats.org/officeDocument/2006/relationships/hyperlink" Target="mailto:ksoloria@nmag.gov" TargetMode="External"/><Relationship Id="rId23" Type="http://schemas.openxmlformats.org/officeDocument/2006/relationships/hyperlink" Target="mailto:lara.katz@state.nm.us" TargetMode="External"/><Relationship Id="rId28" Type="http://schemas.openxmlformats.org/officeDocument/2006/relationships/hyperlink" Target="mailto:scott.janoe@bakerbotts.com" TargetMode="External"/><Relationship Id="rId36" Type="http://schemas.openxmlformats.org/officeDocument/2006/relationships/hyperlink" Target="mailto:ccs@modrall.com" TargetMode="External"/><Relationship Id="rId49"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mailto:sandra.mccarthy@hoganlovells.com" TargetMode="External"/><Relationship Id="rId31" Type="http://schemas.openxmlformats.org/officeDocument/2006/relationships/hyperlink" Target="mailto:tangr@gtlaw.com" TargetMode="External"/><Relationship Id="rId44" Type="http://schemas.openxmlformats.org/officeDocument/2006/relationships/hyperlink" Target="mailto:John_Vimont@nps.go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pamela.jones@state.nm.us" TargetMode="External"/><Relationship Id="rId22" Type="http://schemas.openxmlformats.org/officeDocument/2006/relationships/hyperlink" Target="mailto:bcurtis@hiserjoy.com" TargetMode="External"/><Relationship Id="rId27" Type="http://schemas.openxmlformats.org/officeDocument/2006/relationships/hyperlink" Target="mailto:dtimmons@wildearthguardians.org" TargetMode="External"/><Relationship Id="rId30" Type="http://schemas.openxmlformats.org/officeDocument/2006/relationships/hyperlink" Target="mailto:neumannc@gtlaw.com" TargetMode="External"/><Relationship Id="rId35" Type="http://schemas.openxmlformats.org/officeDocument/2006/relationships/hyperlink" Target="mailto:srb@modrall.com" TargetMode="External"/><Relationship Id="rId43" Type="http://schemas.openxmlformats.org/officeDocument/2006/relationships/hyperlink" Target="mailto:Lisa_devore@nps.gov" TargetMode="External"/><Relationship Id="rId48" Type="http://schemas.openxmlformats.org/officeDocument/2006/relationships/footer" Target="footer5.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pa.gov/gmi/importance-meth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CB961-CBB0-4028-895D-0569CF63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TotalTime>
  <Pages>21</Pages>
  <Words>5769</Words>
  <Characters>31344</Characters>
  <Application>Microsoft Office Word</Application>
  <DocSecurity>0</DocSecurity>
  <PresentationFormat/>
  <Lines>659</Lines>
  <Paragraphs>221</Paragraphs>
  <ScaleCrop>false</ScaleCrop>
  <HeadingPairs>
    <vt:vector size="2" baseType="variant">
      <vt:variant>
        <vt:lpstr>Title</vt:lpstr>
      </vt:variant>
      <vt:variant>
        <vt:i4>1</vt:i4>
      </vt:variant>
    </vt:vector>
  </HeadingPairs>
  <TitlesOfParts>
    <vt:vector size="1" baseType="lpstr">
      <vt:lpstr>Closing Argument - Ozone Rulemaking (01375957-9).DOCX</vt:lpstr>
    </vt:vector>
  </TitlesOfParts>
  <Company/>
  <LinksUpToDate>false</LinksUpToDate>
  <CharactersWithSpaces>37422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Argument - Ozone Rulemaking (01375957-10).DOCX</dc:title>
  <dc:subject>01375957-1</dc:subject>
  <dc:creator>Kristen Burby</dc:creator>
  <cp:keywords/>
  <dc:description>DO NOT STAMP </dc:description>
  <cp:lastModifiedBy>Cristina  Ponce</cp:lastModifiedBy>
  <cp:revision>59</cp:revision>
  <cp:lastPrinted>2022-01-20T23:29:00Z</cp:lastPrinted>
  <dcterms:created xsi:type="dcterms:W3CDTF">2021-12-24T14:01:00Z</dcterms:created>
  <dcterms:modified xsi:type="dcterms:W3CDTF">2022-01-20T23:29:00Z</dcterms:modified>
</cp:coreProperties>
</file>