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CC40C" w14:textId="77777777" w:rsidR="00FA5280" w:rsidRDefault="00FA5280" w:rsidP="00F146EA">
      <w:pPr>
        <w:pStyle w:val="TOC1"/>
      </w:pPr>
    </w:p>
    <w:p w14:paraId="2A2D0159" w14:textId="7E49E06B" w:rsidR="00FA5280" w:rsidRDefault="00FA5280" w:rsidP="00FA5280">
      <w:pPr>
        <w:jc w:val="center"/>
        <w:rPr>
          <w:b/>
          <w:bCs/>
        </w:rPr>
      </w:pPr>
    </w:p>
    <w:p w14:paraId="73335A16" w14:textId="1413E984" w:rsidR="00FA5280" w:rsidRDefault="00FA5280" w:rsidP="00FA5280">
      <w:pPr>
        <w:jc w:val="center"/>
        <w:rPr>
          <w:b/>
          <w:bCs/>
        </w:rPr>
      </w:pPr>
    </w:p>
    <w:p w14:paraId="5AF2399A" w14:textId="22BD31B5" w:rsidR="00FA5280" w:rsidRDefault="00FA5280" w:rsidP="00FA5280">
      <w:pPr>
        <w:jc w:val="center"/>
        <w:rPr>
          <w:b/>
          <w:bCs/>
          <w:u w:val="single"/>
        </w:rPr>
      </w:pPr>
      <w:r>
        <w:rPr>
          <w:b/>
          <w:bCs/>
          <w:u w:val="single"/>
        </w:rPr>
        <w:t>IPANM’S PROPOSED STATEMENT OF REASONS</w:t>
      </w:r>
    </w:p>
    <w:p w14:paraId="4F28AFE4" w14:textId="77777777" w:rsidR="00FE25F3" w:rsidRPr="00FA5280" w:rsidRDefault="00FE25F3" w:rsidP="00FA5280">
      <w:pPr>
        <w:jc w:val="center"/>
        <w:rPr>
          <w:b/>
          <w:bCs/>
          <w:u w:val="single"/>
        </w:rPr>
      </w:pPr>
    </w:p>
    <w:p w14:paraId="68BED136" w14:textId="77777777" w:rsidR="00FA5280" w:rsidRDefault="00FA5280" w:rsidP="00F146EA">
      <w:pPr>
        <w:pStyle w:val="TOC1"/>
      </w:pPr>
    </w:p>
    <w:p w14:paraId="1AAE9409" w14:textId="77777777" w:rsidR="00252F62" w:rsidRDefault="00FA5280">
      <w:pPr>
        <w:rPr>
          <w:b/>
          <w:bCs/>
        </w:rPr>
        <w:sectPr w:rsidR="00252F62" w:rsidSect="00252F62">
          <w:headerReference w:type="default" r:id="rId8"/>
          <w:footerReference w:type="default" r:id="rId9"/>
          <w:pgSz w:w="12240" w:h="15840"/>
          <w:pgMar w:top="1440" w:right="1440" w:bottom="1440" w:left="1440" w:header="720" w:footer="720" w:gutter="0"/>
          <w:cols w:space="720"/>
          <w:titlePg/>
          <w:docGrid w:linePitch="360"/>
        </w:sectPr>
      </w:pPr>
      <w:r>
        <w:rPr>
          <w:b/>
          <w:bCs/>
        </w:rPr>
        <w:br w:type="page"/>
      </w:r>
    </w:p>
    <w:p w14:paraId="1E6A9477" w14:textId="77777777" w:rsidR="00FA5280" w:rsidRDefault="00FA5280">
      <w:pPr>
        <w:rPr>
          <w:b/>
          <w:bCs/>
        </w:rPr>
      </w:pPr>
    </w:p>
    <w:p w14:paraId="71B7220E" w14:textId="7B6CF7C7" w:rsidR="00FA5280" w:rsidRPr="00E529BF" w:rsidRDefault="00FA5280" w:rsidP="00F146EA">
      <w:pPr>
        <w:pStyle w:val="TOC1"/>
        <w:rPr>
          <w:b/>
          <w:bCs/>
        </w:rPr>
      </w:pPr>
      <w:r w:rsidRPr="00E529BF">
        <w:rPr>
          <w:b/>
          <w:bCs/>
        </w:rPr>
        <w:t>TABLE OF CONTENTS</w:t>
      </w:r>
    </w:p>
    <w:p w14:paraId="5E32AA0A" w14:textId="2EE040CB" w:rsidR="00F146EA" w:rsidRDefault="00FA5280">
      <w:pPr>
        <w:pStyle w:val="TOC1"/>
        <w:rPr>
          <w:rFonts w:asciiTheme="minorHAnsi" w:eastAsiaTheme="minorEastAsia" w:hAnsiTheme="minorHAnsi"/>
          <w:noProof/>
          <w:sz w:val="22"/>
        </w:rPr>
      </w:pPr>
      <w:r>
        <w:fldChar w:fldCharType="begin"/>
      </w:r>
      <w:r>
        <w:instrText xml:space="preserve"> TOC \o "1-3" \h \z \u </w:instrText>
      </w:r>
      <w:r>
        <w:fldChar w:fldCharType="separate"/>
      </w:r>
      <w:hyperlink w:anchor="_Toc93581878" w:history="1">
        <w:r w:rsidR="00F146EA" w:rsidRPr="00F51E1A">
          <w:rPr>
            <w:rStyle w:val="Hyperlink"/>
            <w:noProof/>
          </w:rPr>
          <w:t>INTRODUCTION</w:t>
        </w:r>
        <w:r w:rsidR="00F146EA">
          <w:rPr>
            <w:noProof/>
            <w:webHidden/>
          </w:rPr>
          <w:tab/>
        </w:r>
        <w:r w:rsidR="00F146EA">
          <w:rPr>
            <w:noProof/>
            <w:webHidden/>
          </w:rPr>
          <w:fldChar w:fldCharType="begin"/>
        </w:r>
        <w:r w:rsidR="00F146EA">
          <w:rPr>
            <w:noProof/>
            <w:webHidden/>
          </w:rPr>
          <w:instrText xml:space="preserve"> PAGEREF _Toc93581878 \h </w:instrText>
        </w:r>
        <w:r w:rsidR="00F146EA">
          <w:rPr>
            <w:noProof/>
            <w:webHidden/>
          </w:rPr>
        </w:r>
        <w:r w:rsidR="00F146EA">
          <w:rPr>
            <w:noProof/>
            <w:webHidden/>
          </w:rPr>
          <w:fldChar w:fldCharType="separate"/>
        </w:r>
        <w:r w:rsidR="00E529BF">
          <w:rPr>
            <w:noProof/>
            <w:webHidden/>
          </w:rPr>
          <w:t>1</w:t>
        </w:r>
        <w:r w:rsidR="00F146EA">
          <w:rPr>
            <w:noProof/>
            <w:webHidden/>
          </w:rPr>
          <w:fldChar w:fldCharType="end"/>
        </w:r>
      </w:hyperlink>
    </w:p>
    <w:p w14:paraId="58B2188C" w14:textId="03435EFB" w:rsidR="00F146EA" w:rsidRDefault="00F146EA">
      <w:pPr>
        <w:pStyle w:val="TOC1"/>
        <w:rPr>
          <w:rFonts w:asciiTheme="minorHAnsi" w:eastAsiaTheme="minorEastAsia" w:hAnsiTheme="minorHAnsi"/>
          <w:noProof/>
          <w:sz w:val="22"/>
        </w:rPr>
      </w:pPr>
      <w:hyperlink w:anchor="_Toc93581879" w:history="1">
        <w:r w:rsidRPr="00F51E1A">
          <w:rPr>
            <w:rStyle w:val="Hyperlink"/>
            <w:noProof/>
          </w:rPr>
          <w:t>LEGAL AUTHORITY</w:t>
        </w:r>
        <w:r>
          <w:rPr>
            <w:noProof/>
            <w:webHidden/>
          </w:rPr>
          <w:tab/>
        </w:r>
        <w:r>
          <w:rPr>
            <w:noProof/>
            <w:webHidden/>
          </w:rPr>
          <w:fldChar w:fldCharType="begin"/>
        </w:r>
        <w:r>
          <w:rPr>
            <w:noProof/>
            <w:webHidden/>
          </w:rPr>
          <w:instrText xml:space="preserve"> PAGEREF _Toc93581879 \h </w:instrText>
        </w:r>
        <w:r>
          <w:rPr>
            <w:noProof/>
            <w:webHidden/>
          </w:rPr>
        </w:r>
        <w:r>
          <w:rPr>
            <w:noProof/>
            <w:webHidden/>
          </w:rPr>
          <w:fldChar w:fldCharType="separate"/>
        </w:r>
        <w:r w:rsidR="00E529BF">
          <w:rPr>
            <w:noProof/>
            <w:webHidden/>
          </w:rPr>
          <w:t>3</w:t>
        </w:r>
        <w:r>
          <w:rPr>
            <w:noProof/>
            <w:webHidden/>
          </w:rPr>
          <w:fldChar w:fldCharType="end"/>
        </w:r>
      </w:hyperlink>
    </w:p>
    <w:p w14:paraId="4364A7AC" w14:textId="5FACA4B1" w:rsidR="00F146EA" w:rsidRDefault="00F146EA">
      <w:pPr>
        <w:pStyle w:val="TOC1"/>
        <w:rPr>
          <w:rFonts w:asciiTheme="minorHAnsi" w:eastAsiaTheme="minorEastAsia" w:hAnsiTheme="minorHAnsi"/>
          <w:noProof/>
          <w:sz w:val="22"/>
        </w:rPr>
      </w:pPr>
      <w:hyperlink w:anchor="_Toc93581880" w:history="1">
        <w:r w:rsidRPr="00F51E1A">
          <w:rPr>
            <w:rStyle w:val="Hyperlink"/>
            <w:noProof/>
          </w:rPr>
          <w:t>DEVELOPMENT OF THE OIL AND GAS SECTOR – OZONE PRECURSOR RULE</w:t>
        </w:r>
        <w:r>
          <w:rPr>
            <w:noProof/>
            <w:webHidden/>
          </w:rPr>
          <w:tab/>
        </w:r>
        <w:r>
          <w:rPr>
            <w:noProof/>
            <w:webHidden/>
          </w:rPr>
          <w:fldChar w:fldCharType="begin"/>
        </w:r>
        <w:r>
          <w:rPr>
            <w:noProof/>
            <w:webHidden/>
          </w:rPr>
          <w:instrText xml:space="preserve"> PAGEREF _Toc93581880 \h </w:instrText>
        </w:r>
        <w:r>
          <w:rPr>
            <w:noProof/>
            <w:webHidden/>
          </w:rPr>
        </w:r>
        <w:r>
          <w:rPr>
            <w:noProof/>
            <w:webHidden/>
          </w:rPr>
          <w:fldChar w:fldCharType="separate"/>
        </w:r>
        <w:r w:rsidR="00E529BF">
          <w:rPr>
            <w:noProof/>
            <w:webHidden/>
          </w:rPr>
          <w:t>4</w:t>
        </w:r>
        <w:r>
          <w:rPr>
            <w:noProof/>
            <w:webHidden/>
          </w:rPr>
          <w:fldChar w:fldCharType="end"/>
        </w:r>
      </w:hyperlink>
    </w:p>
    <w:p w14:paraId="07815225" w14:textId="433A987B" w:rsidR="00F146EA" w:rsidRDefault="00F146EA">
      <w:pPr>
        <w:pStyle w:val="TOC1"/>
        <w:rPr>
          <w:rFonts w:asciiTheme="minorHAnsi" w:eastAsiaTheme="minorEastAsia" w:hAnsiTheme="minorHAnsi"/>
          <w:noProof/>
          <w:sz w:val="22"/>
        </w:rPr>
      </w:pPr>
      <w:hyperlink w:anchor="_Toc93581881" w:history="1">
        <w:r w:rsidRPr="00F51E1A">
          <w:rPr>
            <w:rStyle w:val="Hyperlink"/>
            <w:noProof/>
          </w:rPr>
          <w:t>PROPOSED STATEMENT OF REASONS</w:t>
        </w:r>
        <w:r>
          <w:rPr>
            <w:noProof/>
            <w:webHidden/>
          </w:rPr>
          <w:tab/>
        </w:r>
        <w:r>
          <w:rPr>
            <w:noProof/>
            <w:webHidden/>
          </w:rPr>
          <w:fldChar w:fldCharType="begin"/>
        </w:r>
        <w:r>
          <w:rPr>
            <w:noProof/>
            <w:webHidden/>
          </w:rPr>
          <w:instrText xml:space="preserve"> PAGEREF _Toc93581881 \h </w:instrText>
        </w:r>
        <w:r>
          <w:rPr>
            <w:noProof/>
            <w:webHidden/>
          </w:rPr>
        </w:r>
        <w:r>
          <w:rPr>
            <w:noProof/>
            <w:webHidden/>
          </w:rPr>
          <w:fldChar w:fldCharType="separate"/>
        </w:r>
        <w:r w:rsidR="00E529BF">
          <w:rPr>
            <w:noProof/>
            <w:webHidden/>
          </w:rPr>
          <w:t>7</w:t>
        </w:r>
        <w:r>
          <w:rPr>
            <w:noProof/>
            <w:webHidden/>
          </w:rPr>
          <w:fldChar w:fldCharType="end"/>
        </w:r>
      </w:hyperlink>
    </w:p>
    <w:p w14:paraId="0739150F" w14:textId="0AAA05E9" w:rsidR="00F146EA" w:rsidRDefault="00F146EA" w:rsidP="00E529BF">
      <w:pPr>
        <w:pStyle w:val="TOC2"/>
        <w:rPr>
          <w:rFonts w:asciiTheme="minorHAnsi" w:eastAsiaTheme="minorEastAsia" w:hAnsiTheme="minorHAnsi"/>
          <w:noProof/>
          <w:sz w:val="22"/>
        </w:rPr>
      </w:pPr>
      <w:hyperlink w:anchor="_Toc93581882" w:history="1">
        <w:r w:rsidRPr="00F51E1A">
          <w:rPr>
            <w:rStyle w:val="Hyperlink"/>
            <w:noProof/>
          </w:rPr>
          <w:t>I.</w:t>
        </w:r>
        <w:r>
          <w:rPr>
            <w:rFonts w:asciiTheme="minorHAnsi" w:eastAsiaTheme="minorEastAsia" w:hAnsiTheme="minorHAnsi"/>
            <w:noProof/>
            <w:sz w:val="22"/>
          </w:rPr>
          <w:tab/>
        </w:r>
        <w:r w:rsidRPr="00F51E1A">
          <w:rPr>
            <w:rStyle w:val="Hyperlink"/>
            <w:noProof/>
          </w:rPr>
          <w:t>General</w:t>
        </w:r>
        <w:r>
          <w:rPr>
            <w:noProof/>
            <w:webHidden/>
          </w:rPr>
          <w:tab/>
        </w:r>
        <w:r>
          <w:rPr>
            <w:noProof/>
            <w:webHidden/>
          </w:rPr>
          <w:fldChar w:fldCharType="begin"/>
        </w:r>
        <w:r>
          <w:rPr>
            <w:noProof/>
            <w:webHidden/>
          </w:rPr>
          <w:instrText xml:space="preserve"> PAGEREF _Toc93581882 \h </w:instrText>
        </w:r>
        <w:r>
          <w:rPr>
            <w:noProof/>
            <w:webHidden/>
          </w:rPr>
        </w:r>
        <w:r>
          <w:rPr>
            <w:noProof/>
            <w:webHidden/>
          </w:rPr>
          <w:fldChar w:fldCharType="separate"/>
        </w:r>
        <w:r w:rsidR="00E529BF">
          <w:rPr>
            <w:noProof/>
            <w:webHidden/>
          </w:rPr>
          <w:t>7</w:t>
        </w:r>
        <w:r>
          <w:rPr>
            <w:noProof/>
            <w:webHidden/>
          </w:rPr>
          <w:fldChar w:fldCharType="end"/>
        </w:r>
      </w:hyperlink>
    </w:p>
    <w:p w14:paraId="33E99C18" w14:textId="2E25FCBE" w:rsidR="00F146EA" w:rsidRDefault="00F146EA" w:rsidP="00E529BF">
      <w:pPr>
        <w:pStyle w:val="TOC2"/>
        <w:rPr>
          <w:rFonts w:asciiTheme="minorHAnsi" w:eastAsiaTheme="minorEastAsia" w:hAnsiTheme="minorHAnsi"/>
          <w:noProof/>
          <w:sz w:val="22"/>
        </w:rPr>
      </w:pPr>
      <w:hyperlink w:anchor="_Toc93581883" w:history="1">
        <w:r w:rsidRPr="00F51E1A">
          <w:rPr>
            <w:rStyle w:val="Hyperlink"/>
            <w:noProof/>
          </w:rPr>
          <w:t>II.</w:t>
        </w:r>
        <w:r>
          <w:rPr>
            <w:rFonts w:asciiTheme="minorHAnsi" w:eastAsiaTheme="minorEastAsia" w:hAnsiTheme="minorHAnsi"/>
            <w:noProof/>
            <w:sz w:val="22"/>
          </w:rPr>
          <w:tab/>
        </w:r>
        <w:r w:rsidRPr="00F51E1A">
          <w:rPr>
            <w:rStyle w:val="Hyperlink"/>
            <w:noProof/>
          </w:rPr>
          <w:t>20.2.50.2 Scope</w:t>
        </w:r>
        <w:r>
          <w:rPr>
            <w:noProof/>
            <w:webHidden/>
          </w:rPr>
          <w:tab/>
        </w:r>
        <w:r>
          <w:rPr>
            <w:noProof/>
            <w:webHidden/>
          </w:rPr>
          <w:fldChar w:fldCharType="begin"/>
        </w:r>
        <w:r>
          <w:rPr>
            <w:noProof/>
            <w:webHidden/>
          </w:rPr>
          <w:instrText xml:space="preserve"> PAGEREF _Toc93581883 \h </w:instrText>
        </w:r>
        <w:r>
          <w:rPr>
            <w:noProof/>
            <w:webHidden/>
          </w:rPr>
        </w:r>
        <w:r>
          <w:rPr>
            <w:noProof/>
            <w:webHidden/>
          </w:rPr>
          <w:fldChar w:fldCharType="separate"/>
        </w:r>
        <w:r w:rsidR="00E529BF">
          <w:rPr>
            <w:noProof/>
            <w:webHidden/>
          </w:rPr>
          <w:t>10</w:t>
        </w:r>
        <w:r>
          <w:rPr>
            <w:noProof/>
            <w:webHidden/>
          </w:rPr>
          <w:fldChar w:fldCharType="end"/>
        </w:r>
      </w:hyperlink>
    </w:p>
    <w:p w14:paraId="24160EAD" w14:textId="666993E3" w:rsidR="00F146EA" w:rsidRDefault="00F146EA" w:rsidP="00E529BF">
      <w:pPr>
        <w:pStyle w:val="TOC3"/>
        <w:rPr>
          <w:rFonts w:asciiTheme="minorHAnsi" w:eastAsiaTheme="minorEastAsia" w:hAnsiTheme="minorHAnsi"/>
          <w:noProof/>
          <w:sz w:val="22"/>
        </w:rPr>
      </w:pPr>
      <w:hyperlink w:anchor="_Toc93581884" w:history="1">
        <w:r w:rsidRPr="00F51E1A">
          <w:rPr>
            <w:rStyle w:val="Hyperlink"/>
            <w:noProof/>
          </w:rPr>
          <w:t>A.</w:t>
        </w:r>
        <w:r>
          <w:rPr>
            <w:rFonts w:asciiTheme="minorHAnsi" w:eastAsiaTheme="minorEastAsia" w:hAnsiTheme="minorHAnsi"/>
            <w:noProof/>
            <w:sz w:val="22"/>
          </w:rPr>
          <w:tab/>
        </w:r>
        <w:r w:rsidRPr="00F51E1A">
          <w:rPr>
            <w:rStyle w:val="Hyperlink"/>
            <w:noProof/>
          </w:rPr>
          <w:t>Areas Subject to Part 50</w:t>
        </w:r>
        <w:r>
          <w:rPr>
            <w:noProof/>
            <w:webHidden/>
          </w:rPr>
          <w:tab/>
        </w:r>
        <w:r>
          <w:rPr>
            <w:noProof/>
            <w:webHidden/>
          </w:rPr>
          <w:fldChar w:fldCharType="begin"/>
        </w:r>
        <w:r>
          <w:rPr>
            <w:noProof/>
            <w:webHidden/>
          </w:rPr>
          <w:instrText xml:space="preserve"> PAGEREF _Toc93581884 \h </w:instrText>
        </w:r>
        <w:r>
          <w:rPr>
            <w:noProof/>
            <w:webHidden/>
          </w:rPr>
        </w:r>
        <w:r>
          <w:rPr>
            <w:noProof/>
            <w:webHidden/>
          </w:rPr>
          <w:fldChar w:fldCharType="separate"/>
        </w:r>
        <w:r w:rsidR="00E529BF">
          <w:rPr>
            <w:noProof/>
            <w:webHidden/>
          </w:rPr>
          <w:t>10</w:t>
        </w:r>
        <w:r>
          <w:rPr>
            <w:noProof/>
            <w:webHidden/>
          </w:rPr>
          <w:fldChar w:fldCharType="end"/>
        </w:r>
      </w:hyperlink>
    </w:p>
    <w:p w14:paraId="7D3DC109" w14:textId="790B5829" w:rsidR="00F146EA" w:rsidRDefault="00F146EA" w:rsidP="00E529BF">
      <w:pPr>
        <w:pStyle w:val="TOC3"/>
        <w:rPr>
          <w:rFonts w:asciiTheme="minorHAnsi" w:eastAsiaTheme="minorEastAsia" w:hAnsiTheme="minorHAnsi"/>
          <w:noProof/>
          <w:sz w:val="22"/>
        </w:rPr>
      </w:pPr>
      <w:hyperlink w:anchor="_Toc93581885" w:history="1">
        <w:r w:rsidRPr="00F51E1A">
          <w:rPr>
            <w:rStyle w:val="Hyperlink"/>
            <w:noProof/>
          </w:rPr>
          <w:t>B.</w:t>
        </w:r>
        <w:r>
          <w:rPr>
            <w:rFonts w:asciiTheme="minorHAnsi" w:eastAsiaTheme="minorEastAsia" w:hAnsiTheme="minorHAnsi"/>
            <w:noProof/>
            <w:sz w:val="22"/>
          </w:rPr>
          <w:tab/>
        </w:r>
        <w:r w:rsidRPr="00F51E1A">
          <w:rPr>
            <w:rStyle w:val="Hyperlink"/>
            <w:noProof/>
          </w:rPr>
          <w:t>Relative Source Contribution</w:t>
        </w:r>
        <w:r>
          <w:rPr>
            <w:noProof/>
            <w:webHidden/>
          </w:rPr>
          <w:tab/>
        </w:r>
        <w:r>
          <w:rPr>
            <w:noProof/>
            <w:webHidden/>
          </w:rPr>
          <w:fldChar w:fldCharType="begin"/>
        </w:r>
        <w:r>
          <w:rPr>
            <w:noProof/>
            <w:webHidden/>
          </w:rPr>
          <w:instrText xml:space="preserve"> PAGEREF _Toc93581885 \h </w:instrText>
        </w:r>
        <w:r>
          <w:rPr>
            <w:noProof/>
            <w:webHidden/>
          </w:rPr>
        </w:r>
        <w:r>
          <w:rPr>
            <w:noProof/>
            <w:webHidden/>
          </w:rPr>
          <w:fldChar w:fldCharType="separate"/>
        </w:r>
        <w:r w:rsidR="00E529BF">
          <w:rPr>
            <w:noProof/>
            <w:webHidden/>
          </w:rPr>
          <w:t>10</w:t>
        </w:r>
        <w:r>
          <w:rPr>
            <w:noProof/>
            <w:webHidden/>
          </w:rPr>
          <w:fldChar w:fldCharType="end"/>
        </w:r>
      </w:hyperlink>
    </w:p>
    <w:p w14:paraId="45236D55" w14:textId="59FB9E7C" w:rsidR="00F146EA" w:rsidRDefault="00F146EA" w:rsidP="00E529BF">
      <w:pPr>
        <w:pStyle w:val="TOC3"/>
        <w:rPr>
          <w:rFonts w:asciiTheme="minorHAnsi" w:eastAsiaTheme="minorEastAsia" w:hAnsiTheme="minorHAnsi"/>
          <w:noProof/>
          <w:sz w:val="22"/>
        </w:rPr>
      </w:pPr>
      <w:hyperlink w:anchor="_Toc93581886" w:history="1">
        <w:r w:rsidRPr="00F51E1A">
          <w:rPr>
            <w:rStyle w:val="Hyperlink"/>
            <w:noProof/>
          </w:rPr>
          <w:t>C.</w:t>
        </w:r>
        <w:r>
          <w:rPr>
            <w:rFonts w:asciiTheme="minorHAnsi" w:eastAsiaTheme="minorEastAsia" w:hAnsiTheme="minorHAnsi"/>
            <w:noProof/>
            <w:sz w:val="22"/>
          </w:rPr>
          <w:tab/>
        </w:r>
        <w:r w:rsidRPr="00F51E1A">
          <w:rPr>
            <w:rStyle w:val="Hyperlink"/>
            <w:noProof/>
          </w:rPr>
          <w:t>Combining NOx and VOC in Modeling Makes it Impossible to Compare Relative Ozone Benefits</w:t>
        </w:r>
        <w:r>
          <w:rPr>
            <w:noProof/>
            <w:webHidden/>
          </w:rPr>
          <w:tab/>
        </w:r>
        <w:r>
          <w:rPr>
            <w:noProof/>
            <w:webHidden/>
          </w:rPr>
          <w:fldChar w:fldCharType="begin"/>
        </w:r>
        <w:r>
          <w:rPr>
            <w:noProof/>
            <w:webHidden/>
          </w:rPr>
          <w:instrText xml:space="preserve"> PAGEREF _Toc93581886 \h </w:instrText>
        </w:r>
        <w:r>
          <w:rPr>
            <w:noProof/>
            <w:webHidden/>
          </w:rPr>
        </w:r>
        <w:r>
          <w:rPr>
            <w:noProof/>
            <w:webHidden/>
          </w:rPr>
          <w:fldChar w:fldCharType="separate"/>
        </w:r>
        <w:r w:rsidR="00E529BF">
          <w:rPr>
            <w:noProof/>
            <w:webHidden/>
          </w:rPr>
          <w:t>12</w:t>
        </w:r>
        <w:r>
          <w:rPr>
            <w:noProof/>
            <w:webHidden/>
          </w:rPr>
          <w:fldChar w:fldCharType="end"/>
        </w:r>
      </w:hyperlink>
    </w:p>
    <w:p w14:paraId="7B26217A" w14:textId="6C5977AD" w:rsidR="00F146EA" w:rsidRDefault="00F146EA" w:rsidP="00E529BF">
      <w:pPr>
        <w:pStyle w:val="TOC3"/>
        <w:rPr>
          <w:rFonts w:asciiTheme="minorHAnsi" w:eastAsiaTheme="minorEastAsia" w:hAnsiTheme="minorHAnsi"/>
          <w:noProof/>
          <w:sz w:val="22"/>
        </w:rPr>
      </w:pPr>
      <w:hyperlink w:anchor="_Toc93581887" w:history="1">
        <w:r w:rsidRPr="00F51E1A">
          <w:rPr>
            <w:rStyle w:val="Hyperlink"/>
            <w:noProof/>
          </w:rPr>
          <w:t>D.</w:t>
        </w:r>
        <w:r>
          <w:rPr>
            <w:rFonts w:asciiTheme="minorHAnsi" w:eastAsiaTheme="minorEastAsia" w:hAnsiTheme="minorHAnsi"/>
            <w:noProof/>
            <w:sz w:val="22"/>
          </w:rPr>
          <w:tab/>
        </w:r>
        <w:r w:rsidRPr="00F51E1A">
          <w:rPr>
            <w:rStyle w:val="Hyperlink"/>
            <w:noProof/>
          </w:rPr>
          <w:t>Emission Inventory Uncertainties</w:t>
        </w:r>
        <w:r>
          <w:rPr>
            <w:noProof/>
            <w:webHidden/>
          </w:rPr>
          <w:tab/>
        </w:r>
        <w:r>
          <w:rPr>
            <w:noProof/>
            <w:webHidden/>
          </w:rPr>
          <w:fldChar w:fldCharType="begin"/>
        </w:r>
        <w:r>
          <w:rPr>
            <w:noProof/>
            <w:webHidden/>
          </w:rPr>
          <w:instrText xml:space="preserve"> PAGEREF _Toc93581887 \h </w:instrText>
        </w:r>
        <w:r>
          <w:rPr>
            <w:noProof/>
            <w:webHidden/>
          </w:rPr>
        </w:r>
        <w:r>
          <w:rPr>
            <w:noProof/>
            <w:webHidden/>
          </w:rPr>
          <w:fldChar w:fldCharType="separate"/>
        </w:r>
        <w:r w:rsidR="00E529BF">
          <w:rPr>
            <w:noProof/>
            <w:webHidden/>
          </w:rPr>
          <w:t>15</w:t>
        </w:r>
        <w:r>
          <w:rPr>
            <w:noProof/>
            <w:webHidden/>
          </w:rPr>
          <w:fldChar w:fldCharType="end"/>
        </w:r>
      </w:hyperlink>
    </w:p>
    <w:p w14:paraId="00DF5017" w14:textId="272CAFE3" w:rsidR="00F146EA" w:rsidRDefault="00F146EA" w:rsidP="00E529BF">
      <w:pPr>
        <w:pStyle w:val="TOC3"/>
        <w:rPr>
          <w:rFonts w:asciiTheme="minorHAnsi" w:eastAsiaTheme="minorEastAsia" w:hAnsiTheme="minorHAnsi"/>
          <w:noProof/>
          <w:sz w:val="22"/>
        </w:rPr>
      </w:pPr>
      <w:hyperlink w:anchor="_Toc93581888" w:history="1">
        <w:r w:rsidRPr="00F51E1A">
          <w:rPr>
            <w:rStyle w:val="Hyperlink"/>
            <w:noProof/>
          </w:rPr>
          <w:t>E.</w:t>
        </w:r>
        <w:r>
          <w:rPr>
            <w:rFonts w:asciiTheme="minorHAnsi" w:eastAsiaTheme="minorEastAsia" w:hAnsiTheme="minorHAnsi"/>
            <w:noProof/>
            <w:sz w:val="22"/>
          </w:rPr>
          <w:tab/>
        </w:r>
        <w:r w:rsidRPr="00F51E1A">
          <w:rPr>
            <w:rStyle w:val="Hyperlink"/>
            <w:noProof/>
          </w:rPr>
          <w:t>Counties Subject to the Ozone Rule</w:t>
        </w:r>
        <w:r>
          <w:rPr>
            <w:noProof/>
            <w:webHidden/>
          </w:rPr>
          <w:tab/>
        </w:r>
        <w:r>
          <w:rPr>
            <w:noProof/>
            <w:webHidden/>
          </w:rPr>
          <w:fldChar w:fldCharType="begin"/>
        </w:r>
        <w:r>
          <w:rPr>
            <w:noProof/>
            <w:webHidden/>
          </w:rPr>
          <w:instrText xml:space="preserve"> PAGEREF _Toc93581888 \h </w:instrText>
        </w:r>
        <w:r>
          <w:rPr>
            <w:noProof/>
            <w:webHidden/>
          </w:rPr>
        </w:r>
        <w:r>
          <w:rPr>
            <w:noProof/>
            <w:webHidden/>
          </w:rPr>
          <w:fldChar w:fldCharType="separate"/>
        </w:r>
        <w:r w:rsidR="00E529BF">
          <w:rPr>
            <w:noProof/>
            <w:webHidden/>
          </w:rPr>
          <w:t>18</w:t>
        </w:r>
        <w:r>
          <w:rPr>
            <w:noProof/>
            <w:webHidden/>
          </w:rPr>
          <w:fldChar w:fldCharType="end"/>
        </w:r>
      </w:hyperlink>
    </w:p>
    <w:p w14:paraId="1210451F" w14:textId="3FB7B661" w:rsidR="00F146EA" w:rsidRDefault="00F146EA" w:rsidP="00E529BF">
      <w:pPr>
        <w:pStyle w:val="TOC2"/>
        <w:rPr>
          <w:rFonts w:asciiTheme="minorHAnsi" w:eastAsiaTheme="minorEastAsia" w:hAnsiTheme="minorHAnsi"/>
          <w:noProof/>
          <w:sz w:val="22"/>
        </w:rPr>
      </w:pPr>
      <w:hyperlink w:anchor="_Toc93581889" w:history="1">
        <w:r w:rsidRPr="00F51E1A">
          <w:rPr>
            <w:rStyle w:val="Hyperlink"/>
            <w:noProof/>
          </w:rPr>
          <w:t>III.</w:t>
        </w:r>
        <w:r>
          <w:rPr>
            <w:rFonts w:asciiTheme="minorHAnsi" w:eastAsiaTheme="minorEastAsia" w:hAnsiTheme="minorHAnsi"/>
            <w:noProof/>
            <w:sz w:val="22"/>
          </w:rPr>
          <w:tab/>
        </w:r>
        <w:r w:rsidRPr="00F51E1A">
          <w:rPr>
            <w:rStyle w:val="Hyperlink"/>
            <w:noProof/>
          </w:rPr>
          <w:t>20.2.50.7 NMAC Definitions</w:t>
        </w:r>
        <w:r>
          <w:rPr>
            <w:noProof/>
            <w:webHidden/>
          </w:rPr>
          <w:tab/>
        </w:r>
        <w:r>
          <w:rPr>
            <w:noProof/>
            <w:webHidden/>
          </w:rPr>
          <w:fldChar w:fldCharType="begin"/>
        </w:r>
        <w:r>
          <w:rPr>
            <w:noProof/>
            <w:webHidden/>
          </w:rPr>
          <w:instrText xml:space="preserve"> PAGEREF _Toc93581889 \h </w:instrText>
        </w:r>
        <w:r>
          <w:rPr>
            <w:noProof/>
            <w:webHidden/>
          </w:rPr>
        </w:r>
        <w:r>
          <w:rPr>
            <w:noProof/>
            <w:webHidden/>
          </w:rPr>
          <w:fldChar w:fldCharType="separate"/>
        </w:r>
        <w:r w:rsidR="00E529BF">
          <w:rPr>
            <w:noProof/>
            <w:webHidden/>
          </w:rPr>
          <w:t>19</w:t>
        </w:r>
        <w:r>
          <w:rPr>
            <w:noProof/>
            <w:webHidden/>
          </w:rPr>
          <w:fldChar w:fldCharType="end"/>
        </w:r>
      </w:hyperlink>
    </w:p>
    <w:p w14:paraId="153863AC" w14:textId="77F7666F" w:rsidR="00F146EA" w:rsidRDefault="00F146EA" w:rsidP="00E529BF">
      <w:pPr>
        <w:pStyle w:val="TOC2"/>
        <w:rPr>
          <w:rFonts w:asciiTheme="minorHAnsi" w:eastAsiaTheme="minorEastAsia" w:hAnsiTheme="minorHAnsi"/>
          <w:noProof/>
          <w:sz w:val="22"/>
        </w:rPr>
      </w:pPr>
      <w:hyperlink w:anchor="_Toc93581890" w:history="1">
        <w:r w:rsidRPr="00F51E1A">
          <w:rPr>
            <w:rStyle w:val="Hyperlink"/>
            <w:noProof/>
          </w:rPr>
          <w:t>IV.</w:t>
        </w:r>
        <w:r>
          <w:rPr>
            <w:rFonts w:asciiTheme="minorHAnsi" w:eastAsiaTheme="minorEastAsia" w:hAnsiTheme="minorHAnsi"/>
            <w:noProof/>
            <w:sz w:val="22"/>
          </w:rPr>
          <w:tab/>
        </w:r>
        <w:r w:rsidRPr="00F51E1A">
          <w:rPr>
            <w:rStyle w:val="Hyperlink"/>
            <w:noProof/>
          </w:rPr>
          <w:t>20.2.50.111 NMAC Applicability</w:t>
        </w:r>
        <w:r>
          <w:rPr>
            <w:noProof/>
            <w:webHidden/>
          </w:rPr>
          <w:tab/>
        </w:r>
        <w:r>
          <w:rPr>
            <w:noProof/>
            <w:webHidden/>
          </w:rPr>
          <w:fldChar w:fldCharType="begin"/>
        </w:r>
        <w:r>
          <w:rPr>
            <w:noProof/>
            <w:webHidden/>
          </w:rPr>
          <w:instrText xml:space="preserve"> PAGEREF _Toc93581890 \h </w:instrText>
        </w:r>
        <w:r>
          <w:rPr>
            <w:noProof/>
            <w:webHidden/>
          </w:rPr>
        </w:r>
        <w:r>
          <w:rPr>
            <w:noProof/>
            <w:webHidden/>
          </w:rPr>
          <w:fldChar w:fldCharType="separate"/>
        </w:r>
        <w:r w:rsidR="00E529BF">
          <w:rPr>
            <w:noProof/>
            <w:webHidden/>
          </w:rPr>
          <w:t>20</w:t>
        </w:r>
        <w:r>
          <w:rPr>
            <w:noProof/>
            <w:webHidden/>
          </w:rPr>
          <w:fldChar w:fldCharType="end"/>
        </w:r>
      </w:hyperlink>
    </w:p>
    <w:p w14:paraId="2F547F4F" w14:textId="4B198CD3" w:rsidR="00F146EA" w:rsidRDefault="00F146EA" w:rsidP="00E529BF">
      <w:pPr>
        <w:pStyle w:val="TOC2"/>
        <w:rPr>
          <w:rFonts w:asciiTheme="minorHAnsi" w:eastAsiaTheme="minorEastAsia" w:hAnsiTheme="minorHAnsi"/>
          <w:noProof/>
          <w:sz w:val="22"/>
        </w:rPr>
      </w:pPr>
      <w:hyperlink w:anchor="_Toc93581891" w:history="1">
        <w:r w:rsidRPr="00F51E1A">
          <w:rPr>
            <w:rStyle w:val="Hyperlink"/>
            <w:noProof/>
          </w:rPr>
          <w:t>V.</w:t>
        </w:r>
        <w:r>
          <w:rPr>
            <w:rFonts w:asciiTheme="minorHAnsi" w:eastAsiaTheme="minorEastAsia" w:hAnsiTheme="minorHAnsi"/>
            <w:noProof/>
            <w:sz w:val="22"/>
          </w:rPr>
          <w:tab/>
        </w:r>
        <w:r w:rsidRPr="00F51E1A">
          <w:rPr>
            <w:rStyle w:val="Hyperlink"/>
            <w:noProof/>
          </w:rPr>
          <w:t>20.2.50.112 NMAC General Provisions</w:t>
        </w:r>
        <w:r>
          <w:rPr>
            <w:noProof/>
            <w:webHidden/>
          </w:rPr>
          <w:tab/>
        </w:r>
        <w:r>
          <w:rPr>
            <w:noProof/>
            <w:webHidden/>
          </w:rPr>
          <w:fldChar w:fldCharType="begin"/>
        </w:r>
        <w:r>
          <w:rPr>
            <w:noProof/>
            <w:webHidden/>
          </w:rPr>
          <w:instrText xml:space="preserve"> PAGEREF _Toc93581891 \h </w:instrText>
        </w:r>
        <w:r>
          <w:rPr>
            <w:noProof/>
            <w:webHidden/>
          </w:rPr>
        </w:r>
        <w:r>
          <w:rPr>
            <w:noProof/>
            <w:webHidden/>
          </w:rPr>
          <w:fldChar w:fldCharType="separate"/>
        </w:r>
        <w:r w:rsidR="00E529BF">
          <w:rPr>
            <w:noProof/>
            <w:webHidden/>
          </w:rPr>
          <w:t>22</w:t>
        </w:r>
        <w:r>
          <w:rPr>
            <w:noProof/>
            <w:webHidden/>
          </w:rPr>
          <w:fldChar w:fldCharType="end"/>
        </w:r>
      </w:hyperlink>
    </w:p>
    <w:p w14:paraId="57A4D646" w14:textId="5E53B6FC" w:rsidR="00F146EA" w:rsidRDefault="00F146EA" w:rsidP="00E529BF">
      <w:pPr>
        <w:pStyle w:val="TOC3"/>
        <w:rPr>
          <w:rFonts w:asciiTheme="minorHAnsi" w:eastAsiaTheme="minorEastAsia" w:hAnsiTheme="minorHAnsi"/>
          <w:noProof/>
          <w:sz w:val="22"/>
        </w:rPr>
      </w:pPr>
      <w:hyperlink w:anchor="_Toc93581892" w:history="1">
        <w:r w:rsidRPr="00F51E1A">
          <w:rPr>
            <w:rStyle w:val="Hyperlink"/>
            <w:noProof/>
          </w:rPr>
          <w:t>A.</w:t>
        </w:r>
        <w:r>
          <w:rPr>
            <w:rFonts w:asciiTheme="minorHAnsi" w:eastAsiaTheme="minorEastAsia" w:hAnsiTheme="minorHAnsi"/>
            <w:noProof/>
            <w:sz w:val="22"/>
          </w:rPr>
          <w:tab/>
        </w:r>
        <w:r w:rsidRPr="00F51E1A">
          <w:rPr>
            <w:rStyle w:val="Hyperlink"/>
            <w:noProof/>
          </w:rPr>
          <w:t>General Provisions Comments</w:t>
        </w:r>
        <w:r>
          <w:rPr>
            <w:noProof/>
            <w:webHidden/>
          </w:rPr>
          <w:tab/>
        </w:r>
        <w:r>
          <w:rPr>
            <w:noProof/>
            <w:webHidden/>
          </w:rPr>
          <w:fldChar w:fldCharType="begin"/>
        </w:r>
        <w:r>
          <w:rPr>
            <w:noProof/>
            <w:webHidden/>
          </w:rPr>
          <w:instrText xml:space="preserve"> PAGEREF _Toc93581892 \h </w:instrText>
        </w:r>
        <w:r>
          <w:rPr>
            <w:noProof/>
            <w:webHidden/>
          </w:rPr>
        </w:r>
        <w:r>
          <w:rPr>
            <w:noProof/>
            <w:webHidden/>
          </w:rPr>
          <w:fldChar w:fldCharType="separate"/>
        </w:r>
        <w:r w:rsidR="00E529BF">
          <w:rPr>
            <w:noProof/>
            <w:webHidden/>
          </w:rPr>
          <w:t>22</w:t>
        </w:r>
        <w:r>
          <w:rPr>
            <w:noProof/>
            <w:webHidden/>
          </w:rPr>
          <w:fldChar w:fldCharType="end"/>
        </w:r>
      </w:hyperlink>
    </w:p>
    <w:p w14:paraId="69BD1215" w14:textId="2709F4F5" w:rsidR="00F146EA" w:rsidRDefault="00F146EA" w:rsidP="00E529BF">
      <w:pPr>
        <w:pStyle w:val="TOC2"/>
        <w:rPr>
          <w:rFonts w:asciiTheme="minorHAnsi" w:eastAsiaTheme="minorEastAsia" w:hAnsiTheme="minorHAnsi"/>
          <w:noProof/>
          <w:sz w:val="22"/>
        </w:rPr>
      </w:pPr>
      <w:hyperlink w:anchor="_Toc93581893" w:history="1">
        <w:r w:rsidRPr="00F51E1A">
          <w:rPr>
            <w:rStyle w:val="Hyperlink"/>
            <w:noProof/>
          </w:rPr>
          <w:t>VI.</w:t>
        </w:r>
        <w:r>
          <w:rPr>
            <w:rFonts w:asciiTheme="minorHAnsi" w:eastAsiaTheme="minorEastAsia" w:hAnsiTheme="minorHAnsi"/>
            <w:noProof/>
            <w:sz w:val="22"/>
          </w:rPr>
          <w:tab/>
        </w:r>
        <w:r w:rsidRPr="00F51E1A">
          <w:rPr>
            <w:rStyle w:val="Hyperlink"/>
            <w:noProof/>
          </w:rPr>
          <w:t>20.2.50.113 Engines and Turbines</w:t>
        </w:r>
        <w:r>
          <w:rPr>
            <w:noProof/>
            <w:webHidden/>
          </w:rPr>
          <w:tab/>
        </w:r>
        <w:r>
          <w:rPr>
            <w:noProof/>
            <w:webHidden/>
          </w:rPr>
          <w:fldChar w:fldCharType="begin"/>
        </w:r>
        <w:r>
          <w:rPr>
            <w:noProof/>
            <w:webHidden/>
          </w:rPr>
          <w:instrText xml:space="preserve"> PAGEREF _Toc93581893 \h </w:instrText>
        </w:r>
        <w:r>
          <w:rPr>
            <w:noProof/>
            <w:webHidden/>
          </w:rPr>
        </w:r>
        <w:r>
          <w:rPr>
            <w:noProof/>
            <w:webHidden/>
          </w:rPr>
          <w:fldChar w:fldCharType="separate"/>
        </w:r>
        <w:r w:rsidR="00E529BF">
          <w:rPr>
            <w:noProof/>
            <w:webHidden/>
          </w:rPr>
          <w:t>29</w:t>
        </w:r>
        <w:r>
          <w:rPr>
            <w:noProof/>
            <w:webHidden/>
          </w:rPr>
          <w:fldChar w:fldCharType="end"/>
        </w:r>
      </w:hyperlink>
    </w:p>
    <w:p w14:paraId="156B9F46" w14:textId="612A4F2B" w:rsidR="00F146EA" w:rsidRDefault="00F146EA" w:rsidP="00E529BF">
      <w:pPr>
        <w:pStyle w:val="TOC2"/>
        <w:rPr>
          <w:rFonts w:asciiTheme="minorHAnsi" w:eastAsiaTheme="minorEastAsia" w:hAnsiTheme="minorHAnsi"/>
          <w:noProof/>
          <w:sz w:val="22"/>
        </w:rPr>
      </w:pPr>
      <w:hyperlink w:anchor="_Toc93581894" w:history="1">
        <w:r w:rsidRPr="00F51E1A">
          <w:rPr>
            <w:rStyle w:val="Hyperlink"/>
            <w:noProof/>
          </w:rPr>
          <w:t>VII.</w:t>
        </w:r>
        <w:r>
          <w:rPr>
            <w:rFonts w:asciiTheme="minorHAnsi" w:eastAsiaTheme="minorEastAsia" w:hAnsiTheme="minorHAnsi"/>
            <w:noProof/>
            <w:sz w:val="22"/>
          </w:rPr>
          <w:tab/>
        </w:r>
        <w:r w:rsidRPr="00F51E1A">
          <w:rPr>
            <w:rStyle w:val="Hyperlink"/>
            <w:noProof/>
          </w:rPr>
          <w:t>20.2.50.117 NMAC Natural Gas Well Liquid Unloading</w:t>
        </w:r>
        <w:r>
          <w:rPr>
            <w:noProof/>
            <w:webHidden/>
          </w:rPr>
          <w:tab/>
        </w:r>
        <w:r>
          <w:rPr>
            <w:noProof/>
            <w:webHidden/>
          </w:rPr>
          <w:fldChar w:fldCharType="begin"/>
        </w:r>
        <w:r>
          <w:rPr>
            <w:noProof/>
            <w:webHidden/>
          </w:rPr>
          <w:instrText xml:space="preserve"> PAGEREF _Toc93581894 \h </w:instrText>
        </w:r>
        <w:r>
          <w:rPr>
            <w:noProof/>
            <w:webHidden/>
          </w:rPr>
        </w:r>
        <w:r>
          <w:rPr>
            <w:noProof/>
            <w:webHidden/>
          </w:rPr>
          <w:fldChar w:fldCharType="separate"/>
        </w:r>
        <w:r w:rsidR="00E529BF">
          <w:rPr>
            <w:noProof/>
            <w:webHidden/>
          </w:rPr>
          <w:t>33</w:t>
        </w:r>
        <w:r>
          <w:rPr>
            <w:noProof/>
            <w:webHidden/>
          </w:rPr>
          <w:fldChar w:fldCharType="end"/>
        </w:r>
      </w:hyperlink>
    </w:p>
    <w:p w14:paraId="5CCA0CA1" w14:textId="48548971" w:rsidR="00F146EA" w:rsidRDefault="00F146EA" w:rsidP="00E529BF">
      <w:pPr>
        <w:pStyle w:val="TOC2"/>
        <w:rPr>
          <w:rFonts w:asciiTheme="minorHAnsi" w:eastAsiaTheme="minorEastAsia" w:hAnsiTheme="minorHAnsi"/>
          <w:noProof/>
          <w:sz w:val="22"/>
        </w:rPr>
      </w:pPr>
      <w:hyperlink w:anchor="_Toc93581895" w:history="1">
        <w:r w:rsidRPr="00F51E1A">
          <w:rPr>
            <w:rStyle w:val="Hyperlink"/>
            <w:noProof/>
          </w:rPr>
          <w:t>VIII.</w:t>
        </w:r>
        <w:r>
          <w:rPr>
            <w:rFonts w:asciiTheme="minorHAnsi" w:eastAsiaTheme="minorEastAsia" w:hAnsiTheme="minorHAnsi"/>
            <w:noProof/>
            <w:sz w:val="22"/>
          </w:rPr>
          <w:tab/>
        </w:r>
        <w:r w:rsidRPr="00F51E1A">
          <w:rPr>
            <w:rStyle w:val="Hyperlink"/>
            <w:noProof/>
          </w:rPr>
          <w:t>29.2.50.120 NMAC Hydrocarbon Liquid Transfers</w:t>
        </w:r>
        <w:r>
          <w:rPr>
            <w:noProof/>
            <w:webHidden/>
          </w:rPr>
          <w:tab/>
        </w:r>
        <w:r>
          <w:rPr>
            <w:noProof/>
            <w:webHidden/>
          </w:rPr>
          <w:fldChar w:fldCharType="begin"/>
        </w:r>
        <w:r>
          <w:rPr>
            <w:noProof/>
            <w:webHidden/>
          </w:rPr>
          <w:instrText xml:space="preserve"> PAGEREF _Toc93581895 \h </w:instrText>
        </w:r>
        <w:r>
          <w:rPr>
            <w:noProof/>
            <w:webHidden/>
          </w:rPr>
        </w:r>
        <w:r>
          <w:rPr>
            <w:noProof/>
            <w:webHidden/>
          </w:rPr>
          <w:fldChar w:fldCharType="separate"/>
        </w:r>
        <w:r w:rsidR="00E529BF">
          <w:rPr>
            <w:noProof/>
            <w:webHidden/>
          </w:rPr>
          <w:t>35</w:t>
        </w:r>
        <w:r>
          <w:rPr>
            <w:noProof/>
            <w:webHidden/>
          </w:rPr>
          <w:fldChar w:fldCharType="end"/>
        </w:r>
      </w:hyperlink>
    </w:p>
    <w:p w14:paraId="4E537246" w14:textId="4A29E187" w:rsidR="00F146EA" w:rsidRDefault="00F146EA" w:rsidP="00E529BF">
      <w:pPr>
        <w:pStyle w:val="TOC2"/>
        <w:rPr>
          <w:rFonts w:asciiTheme="minorHAnsi" w:eastAsiaTheme="minorEastAsia" w:hAnsiTheme="minorHAnsi"/>
          <w:noProof/>
          <w:sz w:val="22"/>
        </w:rPr>
      </w:pPr>
      <w:hyperlink w:anchor="_Toc93581896" w:history="1">
        <w:r w:rsidRPr="00F51E1A">
          <w:rPr>
            <w:rStyle w:val="Hyperlink"/>
            <w:noProof/>
          </w:rPr>
          <w:t>IX.</w:t>
        </w:r>
        <w:r>
          <w:rPr>
            <w:rFonts w:asciiTheme="minorHAnsi" w:eastAsiaTheme="minorEastAsia" w:hAnsiTheme="minorHAnsi"/>
            <w:noProof/>
            <w:sz w:val="22"/>
          </w:rPr>
          <w:tab/>
        </w:r>
        <w:r w:rsidRPr="00F51E1A">
          <w:rPr>
            <w:rStyle w:val="Hyperlink"/>
            <w:noProof/>
          </w:rPr>
          <w:t>20.2.50.122 NMAC Pneumatic Controllers and Pumps</w:t>
        </w:r>
        <w:r>
          <w:rPr>
            <w:noProof/>
            <w:webHidden/>
          </w:rPr>
          <w:tab/>
        </w:r>
        <w:r>
          <w:rPr>
            <w:noProof/>
            <w:webHidden/>
          </w:rPr>
          <w:fldChar w:fldCharType="begin"/>
        </w:r>
        <w:r>
          <w:rPr>
            <w:noProof/>
            <w:webHidden/>
          </w:rPr>
          <w:instrText xml:space="preserve"> PAGEREF _Toc93581896 \h </w:instrText>
        </w:r>
        <w:r>
          <w:rPr>
            <w:noProof/>
            <w:webHidden/>
          </w:rPr>
        </w:r>
        <w:r>
          <w:rPr>
            <w:noProof/>
            <w:webHidden/>
          </w:rPr>
          <w:fldChar w:fldCharType="separate"/>
        </w:r>
        <w:r w:rsidR="00E529BF">
          <w:rPr>
            <w:noProof/>
            <w:webHidden/>
          </w:rPr>
          <w:t>36</w:t>
        </w:r>
        <w:r>
          <w:rPr>
            <w:noProof/>
            <w:webHidden/>
          </w:rPr>
          <w:fldChar w:fldCharType="end"/>
        </w:r>
      </w:hyperlink>
    </w:p>
    <w:p w14:paraId="7253D5F2" w14:textId="640CDE11" w:rsidR="00F146EA" w:rsidRDefault="00F146EA" w:rsidP="00E529BF">
      <w:pPr>
        <w:pStyle w:val="TOC2"/>
        <w:rPr>
          <w:rFonts w:asciiTheme="minorHAnsi" w:eastAsiaTheme="minorEastAsia" w:hAnsiTheme="minorHAnsi"/>
          <w:noProof/>
          <w:sz w:val="22"/>
        </w:rPr>
      </w:pPr>
      <w:hyperlink w:anchor="_Toc93581897" w:history="1">
        <w:r w:rsidRPr="00F51E1A">
          <w:rPr>
            <w:rStyle w:val="Hyperlink"/>
            <w:noProof/>
          </w:rPr>
          <w:t>X.</w:t>
        </w:r>
        <w:r>
          <w:rPr>
            <w:rFonts w:asciiTheme="minorHAnsi" w:eastAsiaTheme="minorEastAsia" w:hAnsiTheme="minorHAnsi"/>
            <w:noProof/>
            <w:sz w:val="22"/>
          </w:rPr>
          <w:tab/>
        </w:r>
        <w:r w:rsidRPr="00F51E1A">
          <w:rPr>
            <w:rStyle w:val="Hyperlink"/>
            <w:noProof/>
          </w:rPr>
          <w:t>20.2.50.124 NMAC Well Workovers</w:t>
        </w:r>
        <w:r>
          <w:rPr>
            <w:noProof/>
            <w:webHidden/>
          </w:rPr>
          <w:tab/>
        </w:r>
        <w:r>
          <w:rPr>
            <w:noProof/>
            <w:webHidden/>
          </w:rPr>
          <w:fldChar w:fldCharType="begin"/>
        </w:r>
        <w:r>
          <w:rPr>
            <w:noProof/>
            <w:webHidden/>
          </w:rPr>
          <w:instrText xml:space="preserve"> PAGEREF _Toc93581897 \h </w:instrText>
        </w:r>
        <w:r>
          <w:rPr>
            <w:noProof/>
            <w:webHidden/>
          </w:rPr>
        </w:r>
        <w:r>
          <w:rPr>
            <w:noProof/>
            <w:webHidden/>
          </w:rPr>
          <w:fldChar w:fldCharType="separate"/>
        </w:r>
        <w:r w:rsidR="00E529BF">
          <w:rPr>
            <w:noProof/>
            <w:webHidden/>
          </w:rPr>
          <w:t>42</w:t>
        </w:r>
        <w:r>
          <w:rPr>
            <w:noProof/>
            <w:webHidden/>
          </w:rPr>
          <w:fldChar w:fldCharType="end"/>
        </w:r>
      </w:hyperlink>
    </w:p>
    <w:p w14:paraId="1543A20C" w14:textId="6925C2FC" w:rsidR="00F146EA" w:rsidRDefault="00F146EA" w:rsidP="00E529BF">
      <w:pPr>
        <w:pStyle w:val="TOC2"/>
        <w:rPr>
          <w:rFonts w:asciiTheme="minorHAnsi" w:eastAsiaTheme="minorEastAsia" w:hAnsiTheme="minorHAnsi"/>
          <w:noProof/>
          <w:sz w:val="22"/>
        </w:rPr>
      </w:pPr>
      <w:hyperlink w:anchor="_Toc93581898" w:history="1">
        <w:r w:rsidRPr="00F51E1A">
          <w:rPr>
            <w:rStyle w:val="Hyperlink"/>
            <w:noProof/>
          </w:rPr>
          <w:t>XI.</w:t>
        </w:r>
        <w:r>
          <w:rPr>
            <w:rFonts w:asciiTheme="minorHAnsi" w:eastAsiaTheme="minorEastAsia" w:hAnsiTheme="minorHAnsi"/>
            <w:noProof/>
            <w:sz w:val="22"/>
          </w:rPr>
          <w:tab/>
        </w:r>
        <w:r w:rsidRPr="00F51E1A">
          <w:rPr>
            <w:rStyle w:val="Hyperlink"/>
            <w:noProof/>
          </w:rPr>
          <w:t>EDF Proximity Proposals</w:t>
        </w:r>
        <w:r>
          <w:rPr>
            <w:noProof/>
            <w:webHidden/>
          </w:rPr>
          <w:tab/>
        </w:r>
        <w:r>
          <w:rPr>
            <w:noProof/>
            <w:webHidden/>
          </w:rPr>
          <w:fldChar w:fldCharType="begin"/>
        </w:r>
        <w:r>
          <w:rPr>
            <w:noProof/>
            <w:webHidden/>
          </w:rPr>
          <w:instrText xml:space="preserve"> PAGEREF _Toc93581898 \h </w:instrText>
        </w:r>
        <w:r>
          <w:rPr>
            <w:noProof/>
            <w:webHidden/>
          </w:rPr>
        </w:r>
        <w:r>
          <w:rPr>
            <w:noProof/>
            <w:webHidden/>
          </w:rPr>
          <w:fldChar w:fldCharType="separate"/>
        </w:r>
        <w:r w:rsidR="00E529BF">
          <w:rPr>
            <w:noProof/>
            <w:webHidden/>
          </w:rPr>
          <w:t>45</w:t>
        </w:r>
        <w:r>
          <w:rPr>
            <w:noProof/>
            <w:webHidden/>
          </w:rPr>
          <w:fldChar w:fldCharType="end"/>
        </w:r>
      </w:hyperlink>
    </w:p>
    <w:p w14:paraId="5EAC6705" w14:textId="2FD69E2B" w:rsidR="00F146EA" w:rsidRDefault="00F146EA" w:rsidP="00E529BF">
      <w:pPr>
        <w:pStyle w:val="TOC2"/>
        <w:rPr>
          <w:rFonts w:asciiTheme="minorHAnsi" w:eastAsiaTheme="minorEastAsia" w:hAnsiTheme="minorHAnsi"/>
          <w:noProof/>
          <w:sz w:val="22"/>
        </w:rPr>
      </w:pPr>
      <w:hyperlink w:anchor="_Toc93581899" w:history="1">
        <w:r w:rsidRPr="00F51E1A">
          <w:rPr>
            <w:rStyle w:val="Hyperlink"/>
            <w:noProof/>
          </w:rPr>
          <w:t>XII.</w:t>
        </w:r>
        <w:r>
          <w:rPr>
            <w:rFonts w:asciiTheme="minorHAnsi" w:eastAsiaTheme="minorEastAsia" w:hAnsiTheme="minorHAnsi"/>
            <w:noProof/>
            <w:sz w:val="22"/>
          </w:rPr>
          <w:tab/>
        </w:r>
        <w:r w:rsidRPr="00F51E1A">
          <w:rPr>
            <w:rStyle w:val="Hyperlink"/>
            <w:noProof/>
          </w:rPr>
          <w:t>20.2.5.50.7.OO NMAC and 20.2.50.125 NMAC: Small Business Facilities</w:t>
        </w:r>
        <w:r>
          <w:rPr>
            <w:noProof/>
            <w:webHidden/>
          </w:rPr>
          <w:tab/>
        </w:r>
        <w:r>
          <w:rPr>
            <w:noProof/>
            <w:webHidden/>
          </w:rPr>
          <w:fldChar w:fldCharType="begin"/>
        </w:r>
        <w:r>
          <w:rPr>
            <w:noProof/>
            <w:webHidden/>
          </w:rPr>
          <w:instrText xml:space="preserve"> PAGEREF _Toc93581899 \h </w:instrText>
        </w:r>
        <w:r>
          <w:rPr>
            <w:noProof/>
            <w:webHidden/>
          </w:rPr>
        </w:r>
        <w:r>
          <w:rPr>
            <w:noProof/>
            <w:webHidden/>
          </w:rPr>
          <w:fldChar w:fldCharType="separate"/>
        </w:r>
        <w:r w:rsidR="00E529BF">
          <w:rPr>
            <w:noProof/>
            <w:webHidden/>
          </w:rPr>
          <w:t>46</w:t>
        </w:r>
        <w:r>
          <w:rPr>
            <w:noProof/>
            <w:webHidden/>
          </w:rPr>
          <w:fldChar w:fldCharType="end"/>
        </w:r>
      </w:hyperlink>
    </w:p>
    <w:p w14:paraId="32969462" w14:textId="16F921A8" w:rsidR="00FD27BB" w:rsidRDefault="00FA5280" w:rsidP="00FD27BB">
      <w:pPr>
        <w:pStyle w:val="Heading1"/>
        <w:spacing w:after="0" w:line="240" w:lineRule="auto"/>
      </w:pPr>
      <w:r>
        <w:fldChar w:fldCharType="end"/>
      </w:r>
    </w:p>
    <w:p w14:paraId="337AB85C" w14:textId="13A4C141" w:rsidR="006348A7" w:rsidRPr="00A61B8B" w:rsidRDefault="006348A7" w:rsidP="00FD27BB">
      <w:pPr>
        <w:pStyle w:val="Heading1"/>
      </w:pPr>
      <w:bookmarkStart w:id="0" w:name="_Toc93581878"/>
      <w:r w:rsidRPr="00A61B8B">
        <w:t>INTRODUCTION</w:t>
      </w:r>
      <w:bookmarkEnd w:id="0"/>
    </w:p>
    <w:p w14:paraId="2193ACB8" w14:textId="12E9CE0F" w:rsidR="00E42F44" w:rsidRDefault="00E42F44" w:rsidP="00E42F44">
      <w:pPr>
        <w:pStyle w:val="ListParagraph"/>
        <w:numPr>
          <w:ilvl w:val="0"/>
          <w:numId w:val="2"/>
        </w:numPr>
        <w:spacing w:line="480" w:lineRule="auto"/>
        <w:ind w:left="0" w:firstLine="720"/>
        <w:jc w:val="both"/>
      </w:pPr>
      <w:r>
        <w:t>This mater comes before the New Mexico Environmental Improvement Board (“EIB”</w:t>
      </w:r>
      <w:r w:rsidR="005364DD">
        <w:t xml:space="preserve"> or “the Board”</w:t>
      </w:r>
      <w:r>
        <w:t>) upon a petition filed by the New Mexico Environment Department (“NMED” or “Department”) proposing new regulation</w:t>
      </w:r>
      <w:r w:rsidR="008E0D6F">
        <w:t>s</w:t>
      </w:r>
      <w:r>
        <w:t xml:space="preserve"> for </w:t>
      </w:r>
      <w:r w:rsidR="00742CDA">
        <w:t>Oil and Gas Sector – Ozone Precursor Pollutants to be codified at 20.2.50 NMAC.</w:t>
      </w:r>
    </w:p>
    <w:p w14:paraId="1D583644" w14:textId="74B5E5B3" w:rsidR="00742CDA" w:rsidRDefault="00742CDA" w:rsidP="00E42F44">
      <w:pPr>
        <w:pStyle w:val="ListParagraph"/>
        <w:numPr>
          <w:ilvl w:val="0"/>
          <w:numId w:val="2"/>
        </w:numPr>
        <w:spacing w:line="480" w:lineRule="auto"/>
        <w:ind w:left="0" w:firstLine="720"/>
        <w:jc w:val="both"/>
      </w:pPr>
      <w:r>
        <w:lastRenderedPageBreak/>
        <w:t xml:space="preserve">NMED’s petition for regulatory change was filed with the </w:t>
      </w:r>
      <w:r w:rsidR="00571876">
        <w:t>Board</w:t>
      </w:r>
      <w:r>
        <w:t xml:space="preserve"> on May 6, 2021.  On June 8, 2021, the </w:t>
      </w:r>
      <w:r w:rsidR="00571876">
        <w:t>Board</w:t>
      </w:r>
      <w:r>
        <w:t xml:space="preserve"> issued an Order of Hearing Determination and Hearing Officer Appointment, designating Felicia Orth as Hearing Officer for the proceeding and establishing a hearing date of September 20, 2021.  On August 26, 2021, the Hearing Officer issued the Procedural Order governing this proceeding.</w:t>
      </w:r>
    </w:p>
    <w:p w14:paraId="63202D62" w14:textId="1E722792" w:rsidR="008E2230" w:rsidRDefault="008E2230" w:rsidP="00E42F44">
      <w:pPr>
        <w:pStyle w:val="ListParagraph"/>
        <w:numPr>
          <w:ilvl w:val="0"/>
          <w:numId w:val="2"/>
        </w:numPr>
        <w:spacing w:line="480" w:lineRule="auto"/>
        <w:ind w:left="0" w:firstLine="720"/>
        <w:jc w:val="both"/>
      </w:pPr>
      <w:r>
        <w:t>Entries of appearance were filed by Conservation Voters New Mexico, Din</w:t>
      </w:r>
      <w:r>
        <w:rPr>
          <w:rFonts w:cs="Times New Roman"/>
        </w:rPr>
        <w:t>é</w:t>
      </w:r>
      <w:r>
        <w:t xml:space="preserve"> C.A.R.E., Earthworks, Natural Resources Defense Council, San Juan Citizens Alliance, Sierra Club, 350 New Mexico, </w:t>
      </w:r>
      <w:r w:rsidR="00826166">
        <w:t xml:space="preserve">350 Santa Fe, </w:t>
      </w:r>
      <w:r>
        <w:t xml:space="preserve">Environmental Defense Fund, </w:t>
      </w:r>
      <w:r w:rsidR="00826166">
        <w:t xml:space="preserve">National Parks Conservation Association (“NPCA”) (collectively “Clean Air Advocates”), </w:t>
      </w:r>
      <w:r>
        <w:t>New Mexico Oil and Gas Association</w:t>
      </w:r>
      <w:r w:rsidR="008C44E6">
        <w:t xml:space="preserve"> (“NMOGA”)</w:t>
      </w:r>
      <w:r>
        <w:t>, Oxy USA Inc.</w:t>
      </w:r>
      <w:r w:rsidR="00130A7D">
        <w:t xml:space="preserve"> </w:t>
      </w:r>
      <w:r w:rsidR="008C44E6">
        <w:t>(“Oxy”)</w:t>
      </w:r>
      <w:r>
        <w:t xml:space="preserve">, </w:t>
      </w:r>
      <w:r w:rsidR="002E16CE">
        <w:t xml:space="preserve">Commercial Disposal Group (“CDG”), </w:t>
      </w:r>
      <w:r>
        <w:t>Kinder Morgan, Inc.</w:t>
      </w:r>
      <w:r w:rsidR="008C44E6">
        <w:t xml:space="preserve"> (“KM”)</w:t>
      </w:r>
      <w:r>
        <w:t>, El Paso Natural Gas Company, LLC, TransColorado Gas Transmission Co.,</w:t>
      </w:r>
      <w:r w:rsidR="00692D81">
        <w:t xml:space="preserve"> LLC, Natural Gas Pipeline Company of America, LLC, NGL Energy Partners LP, Solaris Water Midstream, LLC, OWL SWD Operating, LLC, Goodnight Midstream, LLC, Independent Petroleum Association of New Mexico</w:t>
      </w:r>
      <w:r w:rsidR="000A25FF">
        <w:t xml:space="preserve"> (“IPANM”)</w:t>
      </w:r>
      <w:r w:rsidR="00692D81">
        <w:t>, New Mexico Environmental Law Center, Center for Civic Policy</w:t>
      </w:r>
      <w:r w:rsidR="008C44E6">
        <w:t xml:space="preserve"> (“CCP”)</w:t>
      </w:r>
      <w:r w:rsidR="00692D81">
        <w:t>, NAVA Education Project</w:t>
      </w:r>
      <w:r w:rsidR="008C44E6">
        <w:t xml:space="preserve"> (“NAVA”)</w:t>
      </w:r>
      <w:r w:rsidR="00130A7D">
        <w:t xml:space="preserve"> (collectively “CCP-NAVA”)</w:t>
      </w:r>
      <w:r w:rsidR="00692D81">
        <w:t>, The Gas Compressor Association</w:t>
      </w:r>
      <w:r w:rsidR="008C44E6">
        <w:t xml:space="preserve"> (“GCA”), and the New Mexico Environment Department.</w:t>
      </w:r>
    </w:p>
    <w:p w14:paraId="299BF0A3" w14:textId="019B3C62" w:rsidR="00826166" w:rsidRDefault="00826166" w:rsidP="00E42F44">
      <w:pPr>
        <w:pStyle w:val="ListParagraph"/>
        <w:numPr>
          <w:ilvl w:val="0"/>
          <w:numId w:val="2"/>
        </w:numPr>
        <w:spacing w:line="480" w:lineRule="auto"/>
        <w:ind w:left="0" w:firstLine="720"/>
        <w:jc w:val="both"/>
      </w:pPr>
      <w:r>
        <w:t>Pursuant to the Hearing Determination and the Procedural Order, the parties pre-filed written direct and rebuttal technical testimony on</w:t>
      </w:r>
      <w:r w:rsidR="003B5635">
        <w:t xml:space="preserve"> July 28, </w:t>
      </w:r>
      <w:proofErr w:type="gramStart"/>
      <w:r w:rsidR="003B5635">
        <w:t>2021</w:t>
      </w:r>
      <w:proofErr w:type="gramEnd"/>
      <w:r w:rsidR="003B5635">
        <w:t xml:space="preserve"> and</w:t>
      </w:r>
      <w:r>
        <w:t xml:space="preserve"> September 7, 2021</w:t>
      </w:r>
      <w:r w:rsidR="003B5635">
        <w:t>, respectively</w:t>
      </w:r>
      <w:r w:rsidR="00341207">
        <w:t xml:space="preserve">.  Witness lists were filed on September 13, 2021.  </w:t>
      </w:r>
    </w:p>
    <w:p w14:paraId="2E473898" w14:textId="76882F0A" w:rsidR="00341207" w:rsidRDefault="00341207" w:rsidP="00E42F44">
      <w:pPr>
        <w:pStyle w:val="ListParagraph"/>
        <w:numPr>
          <w:ilvl w:val="0"/>
          <w:numId w:val="2"/>
        </w:numPr>
        <w:spacing w:line="480" w:lineRule="auto"/>
        <w:ind w:left="0" w:firstLine="720"/>
        <w:jc w:val="both"/>
      </w:pPr>
      <w:r>
        <w:t xml:space="preserve">Parties were given an additional opportunity to provide briefing on the legal issues regarding the provisions in </w:t>
      </w:r>
      <w:r w:rsidR="008E0D6F">
        <w:t>proposed</w:t>
      </w:r>
      <w:r>
        <w:t xml:space="preserve"> 20.2.50.127 </w:t>
      </w:r>
      <w:r w:rsidR="008E0D6F">
        <w:t>NMAC</w:t>
      </w:r>
      <w:r w:rsidR="00B13FDF">
        <w:t xml:space="preserve"> </w:t>
      </w:r>
      <w:r w:rsidR="00B13FDF" w:rsidRPr="00B13FDF">
        <w:t xml:space="preserve">(Prohibited Activity </w:t>
      </w:r>
      <w:r w:rsidR="00B13FDF">
        <w:t>a</w:t>
      </w:r>
      <w:r w:rsidR="00B13FDF" w:rsidRPr="00B13FDF">
        <w:t>nd Credible Evidence</w:t>
      </w:r>
      <w:r w:rsidR="00B13FDF">
        <w:t>)</w:t>
      </w:r>
      <w:r>
        <w:t xml:space="preserve"> by September 13, 2021.</w:t>
      </w:r>
    </w:p>
    <w:p w14:paraId="580A63D5" w14:textId="2A469B84" w:rsidR="006348A7" w:rsidRDefault="00826166" w:rsidP="001B7926">
      <w:pPr>
        <w:pStyle w:val="ListParagraph"/>
        <w:numPr>
          <w:ilvl w:val="0"/>
          <w:numId w:val="2"/>
        </w:numPr>
        <w:spacing w:after="0" w:line="480" w:lineRule="auto"/>
        <w:ind w:left="0" w:firstLine="720"/>
        <w:jc w:val="both"/>
      </w:pPr>
      <w:r>
        <w:lastRenderedPageBreak/>
        <w:t>The hearing</w:t>
      </w:r>
      <w:r w:rsidR="005D2080">
        <w:t xml:space="preserve"> began on September 20, </w:t>
      </w:r>
      <w:proofErr w:type="gramStart"/>
      <w:r w:rsidR="005D2080">
        <w:t>2021</w:t>
      </w:r>
      <w:proofErr w:type="gramEnd"/>
      <w:r w:rsidR="005D2080">
        <w:t xml:space="preserve"> and continued through October 1, 2021.</w:t>
      </w:r>
      <w:r w:rsidR="00181733">
        <w:t xml:space="preserve">  The hearing was conducted virtually </w:t>
      </w:r>
      <w:proofErr w:type="gramStart"/>
      <w:r w:rsidR="00181733">
        <w:t>in light of</w:t>
      </w:r>
      <w:proofErr w:type="gramEnd"/>
      <w:r w:rsidR="00181733">
        <w:t xml:space="preserve"> the COVID-19 pandemic.  The public was afforded ample opportunity to participate throughout the hearing.</w:t>
      </w:r>
    </w:p>
    <w:p w14:paraId="4DD5C387" w14:textId="133E3520" w:rsidR="008F01CF" w:rsidRPr="008F01CF" w:rsidRDefault="001B7926" w:rsidP="00A61B8B">
      <w:pPr>
        <w:pStyle w:val="Heading1"/>
      </w:pPr>
      <w:bookmarkStart w:id="1" w:name="_Toc93581879"/>
      <w:r>
        <w:t>LEGAL AUTHORITY</w:t>
      </w:r>
      <w:bookmarkEnd w:id="1"/>
    </w:p>
    <w:p w14:paraId="005A6012" w14:textId="1DBE0758" w:rsidR="00A87534" w:rsidRPr="00A87534" w:rsidRDefault="001B7926" w:rsidP="001B7926">
      <w:pPr>
        <w:pStyle w:val="ListParagraph"/>
        <w:numPr>
          <w:ilvl w:val="0"/>
          <w:numId w:val="2"/>
        </w:numPr>
        <w:spacing w:after="0" w:line="480" w:lineRule="auto"/>
        <w:ind w:left="0" w:firstLine="720"/>
        <w:jc w:val="both"/>
        <w:rPr>
          <w:b/>
          <w:bCs/>
        </w:rPr>
      </w:pPr>
      <w:r>
        <w:t>Under the New Mexico Air Quality Control Act (“</w:t>
      </w:r>
      <w:r w:rsidR="00605038">
        <w:t>Air Act</w:t>
      </w:r>
      <w:r>
        <w:t xml:space="preserve">”), the </w:t>
      </w:r>
      <w:r w:rsidR="005364DD">
        <w:t>Board</w:t>
      </w:r>
      <w:r>
        <w:t xml:space="preserve"> is responsible for the prevention or abatement of air pollution.  NMSA 1978, § 74-2-5 </w:t>
      </w:r>
      <w:r w:rsidR="005739DB">
        <w:t xml:space="preserve">(2021).  </w:t>
      </w:r>
    </w:p>
    <w:p w14:paraId="357AF2BB" w14:textId="19134453" w:rsidR="003A4E19" w:rsidRDefault="005739DB" w:rsidP="003A4E19">
      <w:pPr>
        <w:pStyle w:val="ListParagraph"/>
        <w:numPr>
          <w:ilvl w:val="0"/>
          <w:numId w:val="2"/>
        </w:numPr>
        <w:spacing w:after="0" w:line="480" w:lineRule="auto"/>
        <w:ind w:left="0" w:firstLine="720"/>
        <w:jc w:val="both"/>
      </w:pPr>
      <w:r>
        <w:t xml:space="preserve">Under </w:t>
      </w:r>
      <w:r w:rsidR="00277128">
        <w:t>the AQCA</w:t>
      </w:r>
      <w:r>
        <w:t xml:space="preserve">, the </w:t>
      </w:r>
      <w:r w:rsidR="005364DD">
        <w:t>Board</w:t>
      </w:r>
      <w:r>
        <w:t xml:space="preserve"> has the authority to “adopt, promulgate, publish, amend and repeal rules and standards consistent with the [AQCA] and maintain national ambient air quality standards and prevent or abate air pollution</w:t>
      </w:r>
      <w:r w:rsidR="00605DEB">
        <w:t>.</w:t>
      </w:r>
      <w:r>
        <w:t xml:space="preserve">”  </w:t>
      </w:r>
      <w:r>
        <w:rPr>
          <w:i/>
          <w:iCs/>
        </w:rPr>
        <w:t>Id.</w:t>
      </w:r>
      <w:r>
        <w:t xml:space="preserve">  </w:t>
      </w:r>
      <w:r w:rsidR="003D59DE">
        <w:t>The “standards” are the ambient air quality standards authorized by § 74-2-5(B)(1)(a).</w:t>
      </w:r>
    </w:p>
    <w:p w14:paraId="4F7A955C" w14:textId="77777777" w:rsidR="00F8271C" w:rsidRDefault="00B13FDF" w:rsidP="00F8271C">
      <w:pPr>
        <w:pStyle w:val="ListParagraph"/>
        <w:numPr>
          <w:ilvl w:val="0"/>
          <w:numId w:val="2"/>
        </w:numPr>
        <w:spacing w:after="0" w:line="480" w:lineRule="auto"/>
        <w:ind w:left="0" w:firstLine="720"/>
        <w:jc w:val="both"/>
      </w:pPr>
      <w:r>
        <w:t xml:space="preserve">In addition, in areas of the state where ambient concentrations of ozone are 95 % or more of the National Ambient Air Quality Standard </w:t>
      </w:r>
      <w:r w:rsidR="00E13844">
        <w:t>(</w:t>
      </w:r>
      <w:r w:rsidR="00605038">
        <w:t>“</w:t>
      </w:r>
      <w:r w:rsidR="00E13844">
        <w:t>NAAQS</w:t>
      </w:r>
      <w:r w:rsidR="00605038">
        <w:t>”</w:t>
      </w:r>
      <w:r w:rsidR="00E13844">
        <w:t xml:space="preserve">) </w:t>
      </w:r>
      <w:r>
        <w:t xml:space="preserve">for ozone, the </w:t>
      </w:r>
      <w:r w:rsidR="00571876">
        <w:t>Board</w:t>
      </w:r>
      <w:r>
        <w:t xml:space="preserve"> is required to adopt a plan, including regulations of </w:t>
      </w:r>
      <w:r w:rsidR="00277128">
        <w:t xml:space="preserve">emissions of </w:t>
      </w:r>
      <w:r>
        <w:t>nitrogen oxides and volatile organic compounds (ozone precursors)</w:t>
      </w:r>
      <w:r w:rsidR="00277128">
        <w:t>, to</w:t>
      </w:r>
      <w:r>
        <w:t xml:space="preserve"> </w:t>
      </w:r>
      <w:r w:rsidR="00E13844">
        <w:t>assure that the NAAQS for ozone are attained and maintained.</w:t>
      </w:r>
      <w:r w:rsidR="00277128">
        <w:t xml:space="preserve">  Section 74-2-</w:t>
      </w:r>
      <w:proofErr w:type="gramStart"/>
      <w:r w:rsidR="00277128">
        <w:t>5.</w:t>
      </w:r>
      <w:r w:rsidR="003A4E19">
        <w:t>C.</w:t>
      </w:r>
      <w:proofErr w:type="gramEnd"/>
      <w:r w:rsidR="003A4E19">
        <w:t xml:space="preserve">  “</w:t>
      </w:r>
      <w:r w:rsidR="003A4E19" w:rsidRPr="003A4E19">
        <w:t>Rules adopted pursuant to this subsection shall be limited to sources of emissions within the area of the state where the ozone concentrations exceed ninety-five percent of the primary national ambient air quality standard.</w:t>
      </w:r>
      <w:r w:rsidR="003A4E19">
        <w:t>”</w:t>
      </w:r>
    </w:p>
    <w:p w14:paraId="111229F0" w14:textId="48F7165E" w:rsidR="00F8271C" w:rsidRPr="003A4E19" w:rsidRDefault="00F8271C" w:rsidP="00F8271C">
      <w:pPr>
        <w:pStyle w:val="ListParagraph"/>
        <w:numPr>
          <w:ilvl w:val="0"/>
          <w:numId w:val="2"/>
        </w:numPr>
        <w:spacing w:after="0" w:line="480" w:lineRule="auto"/>
        <w:ind w:left="0" w:firstLine="720"/>
        <w:jc w:val="both"/>
      </w:pPr>
      <w:r>
        <w:t xml:space="preserve">Before the Board or local board adopts a rule that is more stringent than the federal act or federal regulations, or that applies to sources not subject to regulation pursuant to the federal act or regulations, the Board or local board shall </w:t>
      </w:r>
      <w:proofErr w:type="gramStart"/>
      <w:r>
        <w:t>make a determination</w:t>
      </w:r>
      <w:proofErr w:type="gramEnd"/>
      <w:r>
        <w:t xml:space="preserve">, based on substantial evidence and after notice and public hearing, that the proposed rule will be more protective of public health and the environment.  NMSA 1978 § 74-2-5(G). </w:t>
      </w:r>
    </w:p>
    <w:p w14:paraId="732B3A04" w14:textId="13FD405D" w:rsidR="00277128" w:rsidRPr="00277128" w:rsidRDefault="00277128" w:rsidP="00277128">
      <w:pPr>
        <w:pStyle w:val="ListParagraph"/>
        <w:numPr>
          <w:ilvl w:val="0"/>
          <w:numId w:val="2"/>
        </w:numPr>
        <w:spacing w:after="0" w:line="480" w:lineRule="auto"/>
        <w:ind w:left="0" w:firstLine="720"/>
        <w:jc w:val="both"/>
        <w:rPr>
          <w:b/>
          <w:bCs/>
        </w:rPr>
      </w:pPr>
      <w:r>
        <w:lastRenderedPageBreak/>
        <w:t xml:space="preserve">Under the </w:t>
      </w:r>
      <w:r w:rsidR="00605038">
        <w:t>Air Act</w:t>
      </w:r>
      <w:r>
        <w:t>, any person (including NMED) may at any time recommend or propose a regulation to the Board.  NMSA 1978, § 74-2-6(A) (1992).</w:t>
      </w:r>
    </w:p>
    <w:p w14:paraId="69A1B139" w14:textId="67ECECB0" w:rsidR="00345866" w:rsidRPr="002E5579" w:rsidRDefault="00A87534" w:rsidP="001B7926">
      <w:pPr>
        <w:pStyle w:val="ListParagraph"/>
        <w:numPr>
          <w:ilvl w:val="0"/>
          <w:numId w:val="2"/>
        </w:numPr>
        <w:spacing w:after="0" w:line="480" w:lineRule="auto"/>
        <w:ind w:left="0" w:firstLine="720"/>
        <w:jc w:val="both"/>
        <w:rPr>
          <w:b/>
          <w:bCs/>
        </w:rPr>
      </w:pPr>
      <w:r>
        <w:t xml:space="preserve">The </w:t>
      </w:r>
      <w:r w:rsidR="00571876">
        <w:t>Board</w:t>
      </w:r>
      <w:r>
        <w:t>’s rulemaking procedures are governed by 20.1</w:t>
      </w:r>
      <w:r w:rsidR="002E5579">
        <w:t>.1</w:t>
      </w:r>
      <w:r>
        <w:t xml:space="preserve"> NMAC.</w:t>
      </w:r>
    </w:p>
    <w:p w14:paraId="6D9D4A0E" w14:textId="0EBAB53A" w:rsidR="002E5579" w:rsidRPr="002E5579" w:rsidRDefault="002E5579" w:rsidP="001B7926">
      <w:pPr>
        <w:pStyle w:val="ListParagraph"/>
        <w:numPr>
          <w:ilvl w:val="0"/>
          <w:numId w:val="2"/>
        </w:numPr>
        <w:spacing w:after="0" w:line="480" w:lineRule="auto"/>
        <w:ind w:left="0" w:firstLine="720"/>
        <w:jc w:val="both"/>
        <w:rPr>
          <w:b/>
          <w:bCs/>
        </w:rPr>
      </w:pPr>
      <w:r>
        <w:t xml:space="preserve">A person wanting the </w:t>
      </w:r>
      <w:r w:rsidR="005364DD">
        <w:t>Board</w:t>
      </w:r>
      <w:r>
        <w:t xml:space="preserve"> to adopt, amend, or repeal any regulation </w:t>
      </w:r>
      <w:r w:rsidR="003D59DE">
        <w:t xml:space="preserve">or standard </w:t>
      </w:r>
      <w:r>
        <w:t xml:space="preserve">within </w:t>
      </w:r>
      <w:r w:rsidR="005364DD">
        <w:t>the Board’s</w:t>
      </w:r>
      <w:r>
        <w:t xml:space="preserve"> jurisdiction must file a petition with the </w:t>
      </w:r>
      <w:r w:rsidR="005364DD">
        <w:t>Board</w:t>
      </w:r>
      <w:r>
        <w:t xml:space="preserve"> that states </w:t>
      </w:r>
      <w:r w:rsidR="00E13844">
        <w:t xml:space="preserve">the proposed regulatory change and </w:t>
      </w:r>
      <w:r>
        <w:t>the reasons for the change.  20.1.1.300 NMAC.</w:t>
      </w:r>
    </w:p>
    <w:p w14:paraId="3419DA8D" w14:textId="295C2B0C" w:rsidR="002E5579" w:rsidRPr="00F64AB9" w:rsidRDefault="007A32A3" w:rsidP="001B7926">
      <w:pPr>
        <w:pStyle w:val="ListParagraph"/>
        <w:numPr>
          <w:ilvl w:val="0"/>
          <w:numId w:val="2"/>
        </w:numPr>
        <w:spacing w:after="0" w:line="480" w:lineRule="auto"/>
        <w:ind w:left="0" w:firstLine="720"/>
        <w:jc w:val="both"/>
        <w:rPr>
          <w:b/>
          <w:bCs/>
        </w:rPr>
      </w:pPr>
      <w:r>
        <w:t>To</w:t>
      </w:r>
      <w:r w:rsidR="002E5579">
        <w:t xml:space="preserve"> adopt a regulation or emission control requirement, </w:t>
      </w:r>
      <w:r w:rsidR="005364DD">
        <w:t>the Board</w:t>
      </w:r>
      <w:r w:rsidR="002E5579">
        <w:t xml:space="preserve"> must hold a public hearing.  § 74-2-6(B).</w:t>
      </w:r>
      <w:r w:rsidR="00BF6A31">
        <w:t xml:space="preserve">  At the hearing, the </w:t>
      </w:r>
      <w:r w:rsidR="005364DD">
        <w:t>Board</w:t>
      </w:r>
      <w:r w:rsidR="00BF6A31">
        <w:t xml:space="preserve"> must allow interested persons the opportunity to submit data, views, or argument and permit the examination of witnesses who are testifying.  § 74-2-6(D).  </w:t>
      </w:r>
    </w:p>
    <w:p w14:paraId="2618F61B" w14:textId="3FCB46F8" w:rsidR="00F64AB9" w:rsidRPr="00E221D6" w:rsidRDefault="00F64AB9" w:rsidP="001B7926">
      <w:pPr>
        <w:pStyle w:val="ListParagraph"/>
        <w:numPr>
          <w:ilvl w:val="0"/>
          <w:numId w:val="2"/>
        </w:numPr>
        <w:spacing w:after="0" w:line="480" w:lineRule="auto"/>
        <w:ind w:left="0" w:firstLine="720"/>
        <w:jc w:val="both"/>
        <w:rPr>
          <w:b/>
          <w:bCs/>
        </w:rPr>
      </w:pPr>
      <w:r>
        <w:t xml:space="preserve">After the public hearing, the </w:t>
      </w:r>
      <w:r w:rsidR="005364DD">
        <w:t>Board</w:t>
      </w:r>
      <w:r>
        <w:t xml:space="preserve"> deliberates and issues a decision on the proposed rulemaking.  20.1.1.407 NMAC.  The </w:t>
      </w:r>
      <w:r w:rsidR="003D59DE">
        <w:t>proposed</w:t>
      </w:r>
      <w:r>
        <w:t xml:space="preserve"> rule becomes adopted </w:t>
      </w:r>
      <w:r w:rsidR="003D59DE">
        <w:t xml:space="preserve">and final </w:t>
      </w:r>
      <w:r>
        <w:t xml:space="preserve">upon signature of the written </w:t>
      </w:r>
      <w:r w:rsidR="005364DD">
        <w:t>Board</w:t>
      </w:r>
      <w:r>
        <w:t xml:space="preserve"> decision.  </w:t>
      </w:r>
      <w:r>
        <w:rPr>
          <w:i/>
          <w:iCs/>
        </w:rPr>
        <w:t>Id.</w:t>
      </w:r>
      <w:r>
        <w:t xml:space="preserve"> </w:t>
      </w:r>
    </w:p>
    <w:p w14:paraId="23F28425" w14:textId="37BB0877" w:rsidR="00E221D6" w:rsidRDefault="00E221D6" w:rsidP="00A61B8B">
      <w:pPr>
        <w:pStyle w:val="Heading1"/>
      </w:pPr>
      <w:bookmarkStart w:id="2" w:name="_Toc93581880"/>
      <w:r>
        <w:t>DEVELOPMENT OF THE OIL AND GAS SECTOR – OZONE PRECURSOR RULE</w:t>
      </w:r>
      <w:bookmarkEnd w:id="2"/>
    </w:p>
    <w:p w14:paraId="18AAFA12" w14:textId="784B5A0A" w:rsidR="00E221D6" w:rsidRDefault="00E221D6" w:rsidP="000A25FF">
      <w:pPr>
        <w:pStyle w:val="ListParagraph"/>
        <w:numPr>
          <w:ilvl w:val="0"/>
          <w:numId w:val="2"/>
        </w:numPr>
        <w:spacing w:after="0" w:line="480" w:lineRule="auto"/>
        <w:ind w:left="0" w:firstLine="720"/>
        <w:jc w:val="both"/>
      </w:pPr>
      <w:r>
        <w:t xml:space="preserve">The proposed Oil and Gas Sector – Ozone Precursor Rule (“the </w:t>
      </w:r>
      <w:r w:rsidR="0057555C">
        <w:t xml:space="preserve">Ozone </w:t>
      </w:r>
      <w:r>
        <w:t xml:space="preserve">Rule”) is part of two significant initiatives regarding the control of ozone in New Mexico.  </w:t>
      </w:r>
      <w:r w:rsidR="006724FF">
        <w:t xml:space="preserve">Petition for Regulatory Change, at 2, May 6, 2021.  The first initiative is NMED’s Ozone Attainment Initiative (“OAI”), which has a goal of maintaining New Mexico’s compliance with the NAAQS for ozone.  </w:t>
      </w:r>
      <w:r w:rsidR="006724FF">
        <w:rPr>
          <w:i/>
          <w:iCs/>
        </w:rPr>
        <w:t>Id.</w:t>
      </w:r>
      <w:r w:rsidR="006724FF">
        <w:t xml:space="preserve">  The second initiative is pursuant to Executive Order 2019-003 from Governor Michelle Lujan Grisha</w:t>
      </w:r>
      <w:r w:rsidR="000A2654">
        <w:t>m</w:t>
      </w:r>
      <w:r w:rsidR="006724FF">
        <w:t xml:space="preserve"> directing NMED and the New Mexico Energy, Minerals, and Natural Resources Department (“EMNRD”) to develop a regulatory framework to reduce oil and gas sector methane emission and prevent waste from new and existing sources.  </w:t>
      </w:r>
      <w:r w:rsidR="006724FF">
        <w:rPr>
          <w:i/>
          <w:iCs/>
        </w:rPr>
        <w:t>Id.</w:t>
      </w:r>
      <w:r w:rsidR="006724FF">
        <w:t xml:space="preserve"> </w:t>
      </w:r>
    </w:p>
    <w:p w14:paraId="39835700" w14:textId="5D0D3D6D" w:rsidR="00EE2931" w:rsidRDefault="00611021" w:rsidP="000A25FF">
      <w:pPr>
        <w:pStyle w:val="ListParagraph"/>
        <w:numPr>
          <w:ilvl w:val="0"/>
          <w:numId w:val="2"/>
        </w:numPr>
        <w:spacing w:after="0" w:line="480" w:lineRule="auto"/>
        <w:ind w:left="0" w:firstLine="720"/>
        <w:jc w:val="both"/>
      </w:pPr>
      <w:r>
        <w:lastRenderedPageBreak/>
        <w:t>From</w:t>
      </w:r>
      <w:r w:rsidR="00EE2931">
        <w:t xml:space="preserve"> June through </w:t>
      </w:r>
      <w:r w:rsidR="00472239">
        <w:t>A</w:t>
      </w:r>
      <w:r w:rsidR="00EE2931">
        <w:t xml:space="preserve">ugust 2019, NMED and EMNRD jointly held public meetings throughout the State to: “provide information regarding the need for the regulatory initiatives and the relevant authorities for the regulatory actions; to hear input from stakeholders and members of the public; and to answer questions regarding the rulemaking process.” </w:t>
      </w:r>
      <w:r w:rsidR="00EE2931">
        <w:rPr>
          <w:i/>
          <w:iCs/>
        </w:rPr>
        <w:t>Id.</w:t>
      </w:r>
      <w:r w:rsidR="00EE2931">
        <w:t xml:space="preserve"> at 3. </w:t>
      </w:r>
    </w:p>
    <w:p w14:paraId="41FDE908" w14:textId="7DCA3487" w:rsidR="00472239" w:rsidRPr="00810AA6" w:rsidRDefault="00472239" w:rsidP="000A25FF">
      <w:pPr>
        <w:pStyle w:val="ListParagraph"/>
        <w:numPr>
          <w:ilvl w:val="0"/>
          <w:numId w:val="2"/>
        </w:numPr>
        <w:spacing w:after="0" w:line="480" w:lineRule="auto"/>
        <w:ind w:left="0" w:firstLine="720"/>
        <w:jc w:val="both"/>
      </w:pPr>
      <w:r>
        <w:t>A Methane Advisory Panel (“MAP”</w:t>
      </w:r>
      <w:r w:rsidR="00810AA6">
        <w:t xml:space="preserve">) was convened by NMED and EMNRD in August 2019 to “move forward in a manner grounded in science, innovation, collaboration and compliance”.  </w:t>
      </w:r>
      <w:r w:rsidR="00810AA6">
        <w:rPr>
          <w:b/>
          <w:bCs/>
        </w:rPr>
        <w:t>NMED Ex. 10</w:t>
      </w:r>
      <w:r w:rsidR="00810AA6">
        <w:t xml:space="preserve"> at 0005 (Methane Advisory Panel Technical Report).  The members of the MAP were 27 individuals across environmental organizations, Nations, tribes, pueblos, small and large independent petroleum producers, and major, </w:t>
      </w:r>
      <w:r w:rsidR="00B44B66">
        <w:t>vertically integrated</w:t>
      </w:r>
      <w:r w:rsidR="00810AA6">
        <w:t xml:space="preserve"> companies.  </w:t>
      </w:r>
      <w:r w:rsidR="00810AA6" w:rsidRPr="00427D54">
        <w:rPr>
          <w:b/>
          <w:bCs/>
          <w:i/>
          <w:iCs/>
        </w:rPr>
        <w:t>Id.</w:t>
      </w:r>
      <w:r w:rsidR="00810AA6">
        <w:t xml:space="preserve">  The MAP produced a technical report as a “New Mexico-specific treatise on methane emissions and potential reduction mechanisms.” </w:t>
      </w:r>
      <w:r w:rsidR="00810AA6" w:rsidRPr="00427D54">
        <w:rPr>
          <w:b/>
          <w:bCs/>
          <w:i/>
          <w:iCs/>
        </w:rPr>
        <w:t>Id.</w:t>
      </w:r>
    </w:p>
    <w:p w14:paraId="201E9780" w14:textId="77923D71" w:rsidR="00810AA6" w:rsidRDefault="00810AA6" w:rsidP="000A25FF">
      <w:pPr>
        <w:pStyle w:val="ListParagraph"/>
        <w:numPr>
          <w:ilvl w:val="0"/>
          <w:numId w:val="2"/>
        </w:numPr>
        <w:spacing w:after="0" w:line="480" w:lineRule="auto"/>
        <w:ind w:left="0" w:firstLine="720"/>
        <w:jc w:val="both"/>
      </w:pPr>
      <w:r>
        <w:t>On July 20, 2020</w:t>
      </w:r>
      <w:r w:rsidR="00611021">
        <w:t>,</w:t>
      </w:r>
      <w:r>
        <w:t xml:space="preserve"> NMED released a preliminary draft</w:t>
      </w:r>
      <w:r w:rsidR="0008102F">
        <w:t xml:space="preserve"> (“Pre-Petition Draft”) of the </w:t>
      </w:r>
      <w:r w:rsidR="0057555C">
        <w:t>Ozone Rule</w:t>
      </w:r>
      <w:r w:rsidR="0008102F">
        <w:t xml:space="preserve">.  </w:t>
      </w:r>
      <w:r w:rsidR="0008102F">
        <w:rPr>
          <w:b/>
          <w:bCs/>
        </w:rPr>
        <w:t>NMED Ex. 12</w:t>
      </w:r>
      <w:r w:rsidR="0008102F">
        <w:t xml:space="preserve"> (Pre-Petition Draft of 20.2.50 NMAC – July 20, 2020).  Written comments were received on this draft during a two-month comment period.  Petition for Regulatory Change, at 3, May 6, 2021.  </w:t>
      </w:r>
      <w:r w:rsidR="00C87D2F">
        <w:t xml:space="preserve">IPANM submitted written comments on the draft.  </w:t>
      </w:r>
      <w:r w:rsidR="0008102F">
        <w:t xml:space="preserve">From September 2020 through May 2021, NMED reviewed all the input received on the </w:t>
      </w:r>
      <w:r w:rsidR="0057555C">
        <w:t>Ozone Rule</w:t>
      </w:r>
      <w:r w:rsidR="0008102F">
        <w:t xml:space="preserve"> and made substantial revisions based on that input.  </w:t>
      </w:r>
      <w:r w:rsidR="0008102F" w:rsidRPr="00427D54">
        <w:rPr>
          <w:b/>
          <w:bCs/>
          <w:i/>
          <w:iCs/>
        </w:rPr>
        <w:t>Id.</w:t>
      </w:r>
    </w:p>
    <w:p w14:paraId="1D4097AC" w14:textId="307C44E3" w:rsidR="00E221D6" w:rsidRDefault="00E221D6" w:rsidP="000A25FF">
      <w:pPr>
        <w:pStyle w:val="ListParagraph"/>
        <w:numPr>
          <w:ilvl w:val="0"/>
          <w:numId w:val="2"/>
        </w:numPr>
        <w:spacing w:after="0" w:line="480" w:lineRule="auto"/>
        <w:ind w:left="0" w:firstLine="720"/>
        <w:jc w:val="both"/>
      </w:pPr>
      <w:r>
        <w:t xml:space="preserve">NMED </w:t>
      </w:r>
      <w:r w:rsidR="00723AC7">
        <w:t>submitted</w:t>
      </w:r>
      <w:r>
        <w:t xml:space="preserve"> the Petition for Regulatory Change (“the Petition”) on May 6, 2021.</w:t>
      </w:r>
      <w:r w:rsidR="0008102F">
        <w:t xml:space="preserve">  </w:t>
      </w:r>
      <w:r w:rsidR="00723AC7">
        <w:t>T</w:t>
      </w:r>
      <w:r w:rsidR="0008102F">
        <w:t xml:space="preserve">he </w:t>
      </w:r>
      <w:r w:rsidR="00723AC7">
        <w:t>Petition included</w:t>
      </w:r>
      <w:r w:rsidR="0008102F">
        <w:t xml:space="preserve"> the newly revised version of the </w:t>
      </w:r>
      <w:r w:rsidR="0057555C">
        <w:t>Ozone Rule</w:t>
      </w:r>
      <w:r w:rsidR="0008102F">
        <w:t xml:space="preserve">.  </w:t>
      </w:r>
      <w:r w:rsidR="0008102F" w:rsidRPr="00427D54">
        <w:rPr>
          <w:b/>
          <w:bCs/>
          <w:i/>
          <w:iCs/>
        </w:rPr>
        <w:t>Id.</w:t>
      </w:r>
      <w:r w:rsidR="0008102F">
        <w:t xml:space="preserve"> at 8</w:t>
      </w:r>
      <w:r w:rsidR="00C87D2F">
        <w:t>.  The Petition included NMED’s statement of reasons for the proposed rule.</w:t>
      </w:r>
    </w:p>
    <w:p w14:paraId="168CA79C" w14:textId="0EAA3560" w:rsidR="003A4E19" w:rsidRDefault="00723AC7" w:rsidP="000A25FF">
      <w:pPr>
        <w:pStyle w:val="ListParagraph"/>
        <w:numPr>
          <w:ilvl w:val="0"/>
          <w:numId w:val="2"/>
        </w:numPr>
        <w:spacing w:line="480" w:lineRule="auto"/>
        <w:ind w:left="0" w:firstLine="720"/>
        <w:jc w:val="both"/>
      </w:pPr>
      <w:r>
        <w:t xml:space="preserve">At its June 2021 meeting, the </w:t>
      </w:r>
      <w:r w:rsidR="00571876">
        <w:t>Board</w:t>
      </w:r>
      <w:r>
        <w:t xml:space="preserve"> granted the petition and decided to appoint a hearing officer to pr</w:t>
      </w:r>
      <w:r w:rsidR="00A422ED">
        <w:t xml:space="preserve">eside at the hearing.  </w:t>
      </w:r>
    </w:p>
    <w:p w14:paraId="5157D1DC" w14:textId="3CDE88E1" w:rsidR="003A4E19" w:rsidRDefault="000A2654" w:rsidP="000A25FF">
      <w:pPr>
        <w:pStyle w:val="ListParagraph"/>
        <w:numPr>
          <w:ilvl w:val="0"/>
          <w:numId w:val="2"/>
        </w:numPr>
        <w:spacing w:line="480" w:lineRule="auto"/>
        <w:ind w:left="0" w:firstLine="720"/>
        <w:jc w:val="both"/>
      </w:pPr>
      <w:r>
        <w:lastRenderedPageBreak/>
        <w:t xml:space="preserve">On June 8, 2021, the </w:t>
      </w:r>
      <w:r w:rsidR="00571876">
        <w:t>Board</w:t>
      </w:r>
      <w:r>
        <w:t xml:space="preserve"> issued an Order of Hearing Determination and Hearing Officer Appointment, designating Felicia Orth as Hearing Officer for the proceeding and establishing a hearing date of September 20, 2021.  </w:t>
      </w:r>
      <w:r w:rsidR="00A422ED">
        <w:t xml:space="preserve">The Order required that any person intending to submit direct technical testimony must submit a notice of intent to present direct technical testimony, including </w:t>
      </w:r>
      <w:r w:rsidR="00F61E54">
        <w:t xml:space="preserve">full written testimony and exhibits by July 28, 2021.  Any person intending to submit rebuttal technical testimony was required to submit a notice of intent, including full written testimony and exhibits by September 6, 2021.  </w:t>
      </w:r>
    </w:p>
    <w:p w14:paraId="3B6134D3" w14:textId="15008E17" w:rsidR="000A2654" w:rsidRDefault="000A2654" w:rsidP="000A25FF">
      <w:pPr>
        <w:pStyle w:val="ListParagraph"/>
        <w:numPr>
          <w:ilvl w:val="0"/>
          <w:numId w:val="2"/>
        </w:numPr>
        <w:spacing w:line="480" w:lineRule="auto"/>
        <w:ind w:left="0" w:firstLine="720"/>
        <w:jc w:val="both"/>
      </w:pPr>
      <w:r>
        <w:t>On August 26, 2021, the Hearing Officer issued the Procedural Order governing this proceeding.</w:t>
      </w:r>
    </w:p>
    <w:p w14:paraId="5BAFAA5F" w14:textId="72C56A41" w:rsidR="000A2654" w:rsidRPr="00611021" w:rsidRDefault="00A925C6" w:rsidP="000A25FF">
      <w:pPr>
        <w:pStyle w:val="ListParagraph"/>
        <w:numPr>
          <w:ilvl w:val="0"/>
          <w:numId w:val="2"/>
        </w:numPr>
        <w:spacing w:after="0" w:line="480" w:lineRule="auto"/>
        <w:ind w:left="0" w:firstLine="720"/>
        <w:jc w:val="both"/>
        <w:rPr>
          <w:color w:val="000000" w:themeColor="text1"/>
        </w:rPr>
      </w:pPr>
      <w:r w:rsidRPr="00611021">
        <w:rPr>
          <w:color w:val="000000" w:themeColor="text1"/>
        </w:rPr>
        <w:t xml:space="preserve">The Hearing Notice was published in the New Mexico Register on June 22, 2021.  </w:t>
      </w:r>
      <w:r w:rsidRPr="00611021">
        <w:rPr>
          <w:b/>
          <w:bCs/>
          <w:color w:val="000000" w:themeColor="text1"/>
        </w:rPr>
        <w:t xml:space="preserve">NMED Ex. 114.  </w:t>
      </w:r>
      <w:r w:rsidRPr="00611021">
        <w:rPr>
          <w:color w:val="000000" w:themeColor="text1"/>
        </w:rPr>
        <w:t xml:space="preserve">The Hearing Notice was also published on the New Mexico Sunshine Portal on June 22, 2021.  </w:t>
      </w:r>
      <w:r w:rsidRPr="00611021">
        <w:rPr>
          <w:b/>
          <w:bCs/>
          <w:color w:val="000000" w:themeColor="text1"/>
        </w:rPr>
        <w:t>NMED Ex. 115</w:t>
      </w:r>
      <w:r w:rsidRPr="00611021">
        <w:rPr>
          <w:color w:val="000000" w:themeColor="text1"/>
        </w:rPr>
        <w:t xml:space="preserve">.  The Hearing Notice was also published in the following newspapers: Albuquerque Journal, Carlsbad Current Argus, Farmington Daily Times, </w:t>
      </w:r>
      <w:r w:rsidR="00B44B66">
        <w:rPr>
          <w:color w:val="000000" w:themeColor="text1"/>
        </w:rPr>
        <w:t>Hobbs</w:t>
      </w:r>
      <w:r w:rsidRPr="00611021">
        <w:rPr>
          <w:color w:val="000000" w:themeColor="text1"/>
        </w:rPr>
        <w:t xml:space="preserve"> Daily News Sun, and the Santa Fe New Mexican.  </w:t>
      </w:r>
      <w:r w:rsidRPr="00611021">
        <w:rPr>
          <w:b/>
          <w:bCs/>
          <w:color w:val="000000" w:themeColor="text1"/>
        </w:rPr>
        <w:t>NMED Exs. 116-124.</w:t>
      </w:r>
      <w:r w:rsidRPr="00611021">
        <w:rPr>
          <w:color w:val="000000" w:themeColor="text1"/>
        </w:rPr>
        <w:t xml:space="preserve">  Lastly, the Hearing Notice was sent to </w:t>
      </w:r>
      <w:r w:rsidR="00137DE2" w:rsidRPr="00611021">
        <w:rPr>
          <w:color w:val="000000" w:themeColor="text1"/>
        </w:rPr>
        <w:t>N</w:t>
      </w:r>
      <w:r w:rsidRPr="00611021">
        <w:rPr>
          <w:color w:val="000000" w:themeColor="text1"/>
        </w:rPr>
        <w:t xml:space="preserve">ew Mexico </w:t>
      </w:r>
      <w:r w:rsidR="00A422ED">
        <w:rPr>
          <w:color w:val="000000" w:themeColor="text1"/>
        </w:rPr>
        <w:t>t</w:t>
      </w:r>
      <w:r w:rsidRPr="00611021">
        <w:rPr>
          <w:color w:val="000000" w:themeColor="text1"/>
        </w:rPr>
        <w:t xml:space="preserve">ribes and the New Mexico Land Grant Council.  </w:t>
      </w:r>
      <w:r w:rsidRPr="00611021">
        <w:rPr>
          <w:b/>
          <w:bCs/>
          <w:color w:val="000000" w:themeColor="text1"/>
        </w:rPr>
        <w:t>NMED Exs. 125-26.</w:t>
      </w:r>
    </w:p>
    <w:p w14:paraId="37826559" w14:textId="77875E29" w:rsidR="000A25FF" w:rsidRPr="000A25FF" w:rsidRDefault="000A25FF" w:rsidP="000A25FF">
      <w:pPr>
        <w:pStyle w:val="ListParagraph"/>
        <w:numPr>
          <w:ilvl w:val="0"/>
          <w:numId w:val="2"/>
        </w:numPr>
        <w:spacing w:after="0" w:line="480" w:lineRule="auto"/>
        <w:ind w:left="0" w:firstLine="720"/>
        <w:jc w:val="both"/>
      </w:pPr>
      <w:r>
        <w:t xml:space="preserve">Oxy; NMOGA; IPANM; Commercial Disposal Group; Environmental Defense Fund; National Park Service; KM and its subsidiaries and affiliations, </w:t>
      </w:r>
      <w:r>
        <w:rPr>
          <w:bCs/>
        </w:rPr>
        <w:t>El Paso Natural Gas Company LLC, Transcolorado Gas Transmission Co., LLC, and Natural Gas Pipeline Company of America, LLC; GCA; New Mexico Environmental Law Center; Clean Air Advocates; WildEarth Guardians; CCP</w:t>
      </w:r>
      <w:r w:rsidR="00611021">
        <w:rPr>
          <w:bCs/>
        </w:rPr>
        <w:t>-</w:t>
      </w:r>
      <w:r>
        <w:rPr>
          <w:bCs/>
        </w:rPr>
        <w:t>NAVA; NMED; and Solar Turbines</w:t>
      </w:r>
      <w:r w:rsidR="005364DD">
        <w:rPr>
          <w:bCs/>
        </w:rPr>
        <w:t xml:space="preserve"> (collectively “the Parties”)</w:t>
      </w:r>
      <w:r>
        <w:rPr>
          <w:bCs/>
        </w:rPr>
        <w:t xml:space="preserve"> submitted </w:t>
      </w:r>
      <w:r w:rsidR="00A422ED">
        <w:rPr>
          <w:bCs/>
        </w:rPr>
        <w:t xml:space="preserve">notices of intent to present technical </w:t>
      </w:r>
      <w:r>
        <w:rPr>
          <w:bCs/>
        </w:rPr>
        <w:t>pre-filed written direct and/or rebuttal technical testimony.</w:t>
      </w:r>
    </w:p>
    <w:p w14:paraId="7E14E70D" w14:textId="6F41576D" w:rsidR="000A25FF" w:rsidRDefault="000A25FF" w:rsidP="000A25FF">
      <w:pPr>
        <w:pStyle w:val="ListParagraph"/>
        <w:numPr>
          <w:ilvl w:val="0"/>
          <w:numId w:val="2"/>
        </w:numPr>
        <w:spacing w:after="0" w:line="480" w:lineRule="auto"/>
        <w:ind w:left="0" w:firstLine="720"/>
        <w:jc w:val="both"/>
      </w:pPr>
      <w:r>
        <w:rPr>
          <w:bCs/>
        </w:rPr>
        <w:lastRenderedPageBreak/>
        <w:t xml:space="preserve">A virtual public hearing was held from </w:t>
      </w:r>
      <w:r>
        <w:t xml:space="preserve">September 20, </w:t>
      </w:r>
      <w:proofErr w:type="gramStart"/>
      <w:r>
        <w:t>2021</w:t>
      </w:r>
      <w:proofErr w:type="gramEnd"/>
      <w:r>
        <w:t xml:space="preserve"> through October 1, 2021</w:t>
      </w:r>
      <w:r w:rsidR="007C6F30">
        <w:t xml:space="preserve">.  The Hearing Officer heard technical testimony, including direct and cross examination from </w:t>
      </w:r>
      <w:r w:rsidR="005364DD">
        <w:rPr>
          <w:color w:val="000000" w:themeColor="text1"/>
        </w:rPr>
        <w:t>the Parties and</w:t>
      </w:r>
      <w:r w:rsidR="005364DD">
        <w:rPr>
          <w:color w:val="FF0000"/>
        </w:rPr>
        <w:t xml:space="preserve"> </w:t>
      </w:r>
      <w:r w:rsidR="007C6F30">
        <w:t xml:space="preserve">Public comment was heard from many interested </w:t>
      </w:r>
      <w:r w:rsidR="005364DD">
        <w:t>members of the public.</w:t>
      </w:r>
    </w:p>
    <w:p w14:paraId="73D5A3A7" w14:textId="0951D6F3" w:rsidR="007C6F30" w:rsidRDefault="007C6F30" w:rsidP="000A25FF">
      <w:pPr>
        <w:pStyle w:val="ListParagraph"/>
        <w:numPr>
          <w:ilvl w:val="0"/>
          <w:numId w:val="2"/>
        </w:numPr>
        <w:spacing w:after="0" w:line="480" w:lineRule="auto"/>
        <w:ind w:left="0" w:firstLine="720"/>
        <w:jc w:val="both"/>
      </w:pPr>
      <w:r>
        <w:t xml:space="preserve">After the public hearing, in accordance with the Procedural Order, parties submitted closing arguments, proposed reasons, and final proposed changes to the </w:t>
      </w:r>
      <w:r w:rsidR="0057555C">
        <w:t>Ozone Rule</w:t>
      </w:r>
      <w:r>
        <w:t>.</w:t>
      </w:r>
    </w:p>
    <w:p w14:paraId="5C3E659E" w14:textId="5C64BD25" w:rsidR="007C6F30" w:rsidRPr="00E221D6" w:rsidRDefault="007C6F30" w:rsidP="000A25FF">
      <w:pPr>
        <w:pStyle w:val="ListParagraph"/>
        <w:numPr>
          <w:ilvl w:val="0"/>
          <w:numId w:val="2"/>
        </w:numPr>
        <w:spacing w:after="0" w:line="480" w:lineRule="auto"/>
        <w:ind w:left="0" w:firstLine="720"/>
        <w:jc w:val="both"/>
      </w:pPr>
      <w:r>
        <w:t xml:space="preserve">The Hearing Officer allowed all interested persons a reasonable opportunity to submit data, views, and arguments, and to examine witnesses.  </w:t>
      </w:r>
    </w:p>
    <w:p w14:paraId="0AE394B7" w14:textId="6DDCA9B1" w:rsidR="00E221D6" w:rsidRDefault="00E221D6" w:rsidP="008A2120">
      <w:pPr>
        <w:pStyle w:val="Heading1"/>
        <w:keepNext/>
      </w:pPr>
      <w:bookmarkStart w:id="3" w:name="_Toc93581881"/>
      <w:r>
        <w:t>PROPOSED STATEMENT OF REASONS</w:t>
      </w:r>
      <w:bookmarkEnd w:id="3"/>
    </w:p>
    <w:p w14:paraId="4566D420" w14:textId="2E1E3906" w:rsidR="00E221D6" w:rsidRDefault="006454E1" w:rsidP="008A2120">
      <w:pPr>
        <w:keepNext/>
        <w:spacing w:after="0" w:line="480" w:lineRule="auto"/>
        <w:ind w:firstLine="720"/>
      </w:pPr>
      <w:r>
        <w:t xml:space="preserve">After deliberation, the </w:t>
      </w:r>
      <w:r w:rsidR="00A121D7">
        <w:t>Board</w:t>
      </w:r>
      <w:r>
        <w:t xml:space="preserve"> hereby </w:t>
      </w:r>
      <w:r w:rsidR="00C63B2D">
        <w:t>adopts</w:t>
      </w:r>
      <w:r>
        <w:t xml:space="preserve"> the following Statement of Reasons in support of its decision: </w:t>
      </w:r>
    </w:p>
    <w:p w14:paraId="587E7072" w14:textId="4DD8C234" w:rsidR="00765389" w:rsidRDefault="00765389" w:rsidP="00765389">
      <w:pPr>
        <w:pStyle w:val="Heading2"/>
      </w:pPr>
      <w:bookmarkStart w:id="4" w:name="_Toc93581882"/>
      <w:r>
        <w:t>General</w:t>
      </w:r>
      <w:bookmarkEnd w:id="4"/>
      <w:r>
        <w:t xml:space="preserve"> </w:t>
      </w:r>
    </w:p>
    <w:p w14:paraId="3655FF6E" w14:textId="382453EF" w:rsidR="00765389" w:rsidRDefault="00B24B1D" w:rsidP="003312F6">
      <w:pPr>
        <w:pStyle w:val="ListParagraph"/>
        <w:numPr>
          <w:ilvl w:val="0"/>
          <w:numId w:val="2"/>
        </w:numPr>
        <w:spacing w:line="480" w:lineRule="auto"/>
        <w:ind w:left="0" w:firstLine="720"/>
        <w:jc w:val="both"/>
      </w:pPr>
      <w:r>
        <w:t xml:space="preserve">Ozone </w:t>
      </w:r>
      <w:r w:rsidR="00421BAE">
        <w:t xml:space="preserve">is </w:t>
      </w:r>
      <w:r>
        <w:t xml:space="preserve">not directly emitted from sources, but rather is formed when nitrogen oxides (“NOx”) and volatile organic compounds (“VOCs”) react in the presence of sunlight. </w:t>
      </w:r>
      <w:r>
        <w:rPr>
          <w:i/>
          <w:iCs/>
        </w:rPr>
        <w:t>NMED Petition</w:t>
      </w:r>
      <w:r w:rsidR="008559A3">
        <w:t>, Statement of Reasons</w:t>
      </w:r>
      <w:r>
        <w:rPr>
          <w:i/>
          <w:iCs/>
        </w:rPr>
        <w:t xml:space="preserve"> </w:t>
      </w:r>
      <w:r>
        <w:t>at 5.</w:t>
      </w:r>
    </w:p>
    <w:p w14:paraId="1A885C6B" w14:textId="7DE15878" w:rsidR="00B24B1D" w:rsidRDefault="00B24B1D" w:rsidP="003312F6">
      <w:pPr>
        <w:pStyle w:val="ListParagraph"/>
        <w:numPr>
          <w:ilvl w:val="0"/>
          <w:numId w:val="2"/>
        </w:numPr>
        <w:spacing w:line="480" w:lineRule="auto"/>
        <w:ind w:left="0" w:firstLine="720"/>
        <w:jc w:val="both"/>
      </w:pPr>
      <w:r>
        <w:t xml:space="preserve">“As the amount of these compounds increase in the air during warm days and intense sunlight, the essential chemical reactions take place to form ozone.” </w:t>
      </w:r>
      <w:r>
        <w:rPr>
          <w:i/>
          <w:iCs/>
        </w:rPr>
        <w:t>Id.</w:t>
      </w:r>
      <w:r>
        <w:t xml:space="preserve"> </w:t>
      </w:r>
    </w:p>
    <w:p w14:paraId="490C01BC" w14:textId="7A19303C" w:rsidR="00B24B1D" w:rsidRDefault="008559A3" w:rsidP="003312F6">
      <w:pPr>
        <w:pStyle w:val="ListParagraph"/>
        <w:numPr>
          <w:ilvl w:val="0"/>
          <w:numId w:val="2"/>
        </w:numPr>
        <w:spacing w:line="480" w:lineRule="auto"/>
        <w:ind w:left="0" w:firstLine="720"/>
        <w:jc w:val="both"/>
      </w:pPr>
      <w:r>
        <w:t xml:space="preserve">Anthropogenic and non-anthropogenic sources contribute to ozone concentrations. </w:t>
      </w:r>
      <w:r>
        <w:rPr>
          <w:i/>
          <w:iCs/>
        </w:rPr>
        <w:t>Id.</w:t>
      </w:r>
      <w:r>
        <w:t xml:space="preserve"> </w:t>
      </w:r>
    </w:p>
    <w:p w14:paraId="335C7318" w14:textId="730DC46F" w:rsidR="008559A3" w:rsidRDefault="008559A3" w:rsidP="003312F6">
      <w:pPr>
        <w:pStyle w:val="ListParagraph"/>
        <w:numPr>
          <w:ilvl w:val="0"/>
          <w:numId w:val="2"/>
        </w:numPr>
        <w:spacing w:line="480" w:lineRule="auto"/>
        <w:ind w:left="0" w:firstLine="720"/>
        <w:jc w:val="both"/>
      </w:pPr>
      <w:r>
        <w:t xml:space="preserve">Under the </w:t>
      </w:r>
      <w:r w:rsidR="00421BAE">
        <w:t>Air Act</w:t>
      </w:r>
      <w:r>
        <w:t xml:space="preserve">, the Board must take action to control NOx and VOC emissions when “emissions from sources within its jurisdiction cause or contribute to ozone concentrations in excess of ninety-five present of the ozone NAAQS.” </w:t>
      </w:r>
      <w:r>
        <w:rPr>
          <w:i/>
          <w:iCs/>
        </w:rPr>
        <w:t>NMED Petition</w:t>
      </w:r>
      <w:r>
        <w:t>, Statement of Reasons at 7</w:t>
      </w:r>
      <w:r w:rsidR="00421BAE">
        <w:t>; Section 74-2-5(C)</w:t>
      </w:r>
      <w:r>
        <w:t>.</w:t>
      </w:r>
    </w:p>
    <w:p w14:paraId="38AC0793" w14:textId="0EC6612C" w:rsidR="008559A3" w:rsidRDefault="008559A3" w:rsidP="003312F6">
      <w:pPr>
        <w:pStyle w:val="ListParagraph"/>
        <w:numPr>
          <w:ilvl w:val="0"/>
          <w:numId w:val="2"/>
        </w:numPr>
        <w:spacing w:line="480" w:lineRule="auto"/>
        <w:ind w:left="0" w:firstLine="720"/>
        <w:jc w:val="both"/>
      </w:pPr>
      <w:r>
        <w:lastRenderedPageBreak/>
        <w:t xml:space="preserve">The </w:t>
      </w:r>
      <w:r w:rsidR="00421BAE">
        <w:t>Air Act</w:t>
      </w:r>
      <w:r>
        <w:t xml:space="preserve"> requires the Board to “adopt a plan, including regulations, to control emissions of NOx and VOC to provide for attainment and maintenance of the ozone NAAQS for those areas that exceed the ninety-five percent of the standard.” </w:t>
      </w:r>
      <w:r>
        <w:rPr>
          <w:i/>
          <w:iCs/>
        </w:rPr>
        <w:t>Id.</w:t>
      </w:r>
    </w:p>
    <w:p w14:paraId="43A7A117" w14:textId="7AD5BB61" w:rsidR="008559A3" w:rsidRDefault="00605038" w:rsidP="00421BAE">
      <w:pPr>
        <w:pStyle w:val="ListParagraph"/>
        <w:numPr>
          <w:ilvl w:val="0"/>
          <w:numId w:val="2"/>
        </w:numPr>
        <w:spacing w:line="480" w:lineRule="auto"/>
        <w:ind w:left="0" w:firstLine="720"/>
        <w:jc w:val="both"/>
      </w:pPr>
      <w:r>
        <w:t>The Air Act does not specify the elements required for a plan to control NOx and VOC emissions</w:t>
      </w:r>
      <w:r w:rsidR="008559A3">
        <w:t>.</w:t>
      </w:r>
    </w:p>
    <w:p w14:paraId="2CA4CCA8" w14:textId="77777777" w:rsidR="00F05096" w:rsidRDefault="00584F91" w:rsidP="00584F91">
      <w:pPr>
        <w:pStyle w:val="ListParagraph"/>
        <w:numPr>
          <w:ilvl w:val="0"/>
          <w:numId w:val="2"/>
        </w:numPr>
        <w:spacing w:line="480" w:lineRule="auto"/>
        <w:ind w:left="0" w:firstLine="720"/>
        <w:jc w:val="both"/>
      </w:pPr>
      <w:r>
        <w:t xml:space="preserve">The federal Clean Air Act specifies the requirements for state implementation plans (“SIP”) for assuring that NAAQS, including ozone, are </w:t>
      </w:r>
      <w:proofErr w:type="gramStart"/>
      <w:r>
        <w:t>attained</w:t>
      </w:r>
      <w:proofErr w:type="gramEnd"/>
      <w:r>
        <w:t xml:space="preserve"> and maintained.  The requirements include the following: enforceable emission limits, appropriate control equipment, collection of monitoring data, required emission report amongst many other steps.  42 U.S.C. § 7410(a)(2).</w:t>
      </w:r>
    </w:p>
    <w:p w14:paraId="779FE11C" w14:textId="687DE392" w:rsidR="00F05096" w:rsidRDefault="00F05096" w:rsidP="00584F91">
      <w:pPr>
        <w:pStyle w:val="ListParagraph"/>
        <w:numPr>
          <w:ilvl w:val="0"/>
          <w:numId w:val="2"/>
        </w:numPr>
        <w:spacing w:line="480" w:lineRule="auto"/>
        <w:ind w:left="0" w:firstLine="720"/>
        <w:jc w:val="both"/>
      </w:pPr>
      <w:r>
        <w:t xml:space="preserve">The federal Clean Air Act </w:t>
      </w:r>
      <w:r w:rsidR="00742391">
        <w:t>regulations</w:t>
      </w:r>
      <w:r>
        <w:t xml:space="preserve"> regarding a SIP for </w:t>
      </w:r>
      <w:r w:rsidR="00742391">
        <w:t xml:space="preserve">implementation of the 2015 NAAQS for </w:t>
      </w:r>
      <w:r>
        <w:t xml:space="preserve">ozone management are </w:t>
      </w:r>
      <w:r w:rsidR="00742391">
        <w:t>contained</w:t>
      </w:r>
      <w:r>
        <w:t xml:space="preserve"> in 40 C.F.R. </w:t>
      </w:r>
      <w:r w:rsidR="00CE66C5">
        <w:t xml:space="preserve">Part </w:t>
      </w:r>
      <w:r>
        <w:t>51</w:t>
      </w:r>
      <w:r w:rsidR="00CE66C5">
        <w:t>,</w:t>
      </w:r>
      <w:r>
        <w:t xml:space="preserve"> Subpart CC. </w:t>
      </w:r>
    </w:p>
    <w:p w14:paraId="543E8231" w14:textId="0ECFE39F" w:rsidR="00584F91" w:rsidRDefault="00F05096" w:rsidP="00584F91">
      <w:pPr>
        <w:pStyle w:val="ListParagraph"/>
        <w:numPr>
          <w:ilvl w:val="0"/>
          <w:numId w:val="2"/>
        </w:numPr>
        <w:spacing w:line="480" w:lineRule="auto"/>
        <w:ind w:left="0" w:firstLine="720"/>
        <w:jc w:val="both"/>
      </w:pPr>
      <w:r>
        <w:t>New Mexico has an approved SIP</w:t>
      </w:r>
      <w:r w:rsidR="00ED4133">
        <w:t>, including requirements for ozone</w:t>
      </w:r>
      <w:r>
        <w:t xml:space="preserve">.  40 C.F.R. </w:t>
      </w:r>
      <w:r w:rsidR="00CE66C5">
        <w:t xml:space="preserve">Part </w:t>
      </w:r>
      <w:r>
        <w:t>52</w:t>
      </w:r>
      <w:r w:rsidR="00CE66C5">
        <w:t>,</w:t>
      </w:r>
      <w:r>
        <w:t xml:space="preserve"> Subpart GG.</w:t>
      </w:r>
      <w:r w:rsidR="00584F91">
        <w:t xml:space="preserve"> </w:t>
      </w:r>
    </w:p>
    <w:p w14:paraId="161FF88A" w14:textId="77777777" w:rsidR="00154D42" w:rsidRDefault="00154D42" w:rsidP="00154D42">
      <w:pPr>
        <w:pStyle w:val="ListParagraph"/>
        <w:numPr>
          <w:ilvl w:val="0"/>
          <w:numId w:val="2"/>
        </w:numPr>
        <w:spacing w:after="0" w:line="480" w:lineRule="auto"/>
        <w:ind w:left="0" w:firstLine="720"/>
        <w:jc w:val="both"/>
      </w:pPr>
      <w:r>
        <w:t xml:space="preserve">Section 172 of the federal Clean Air Act, which applies to requirements for areas designated as nonattainment with the NAAQS, requires that nonattainment area plans: </w:t>
      </w:r>
    </w:p>
    <w:p w14:paraId="638E7363" w14:textId="77777777" w:rsidR="00154D42" w:rsidRDefault="00154D42" w:rsidP="00154D42">
      <w:pPr>
        <w:spacing w:line="240" w:lineRule="auto"/>
        <w:ind w:left="720" w:right="720"/>
        <w:jc w:val="both"/>
      </w:pPr>
      <w:r>
        <w:t>(1) In general</w:t>
      </w:r>
    </w:p>
    <w:p w14:paraId="6AED9213" w14:textId="77777777" w:rsidR="00154D42" w:rsidRDefault="00154D42" w:rsidP="00154D42">
      <w:pPr>
        <w:spacing w:line="240" w:lineRule="auto"/>
        <w:ind w:left="720" w:right="720"/>
        <w:jc w:val="both"/>
      </w:pPr>
      <w:r>
        <w:t xml:space="preserve">Such plan provisions shall provide for the </w:t>
      </w:r>
      <w:r w:rsidRPr="00303632">
        <w:t>implementation of all reasonably available control measures as expeditiously as practicable</w:t>
      </w:r>
      <w:r>
        <w:t xml:space="preserve"> (including such reductions in emissions from existing sources in the area as may be obtained through the adoption, at a minimum, of reasonably available control technology) and shall provide for attainment of the national primary ambient air quality standards.</w:t>
      </w:r>
    </w:p>
    <w:p w14:paraId="3709DF6F" w14:textId="77777777" w:rsidR="00154D42" w:rsidRDefault="00154D42" w:rsidP="00154D42">
      <w:pPr>
        <w:spacing w:line="240" w:lineRule="auto"/>
        <w:ind w:left="720" w:right="720"/>
        <w:jc w:val="both"/>
      </w:pPr>
      <w:r>
        <w:t>(2) RFP</w:t>
      </w:r>
    </w:p>
    <w:p w14:paraId="10CD7AF8" w14:textId="77777777" w:rsidR="00154D42" w:rsidRDefault="00154D42" w:rsidP="00154D42">
      <w:pPr>
        <w:spacing w:line="240" w:lineRule="auto"/>
        <w:ind w:left="720" w:right="720"/>
        <w:jc w:val="both"/>
      </w:pPr>
      <w:r>
        <w:t>Such plan provisions shall require reasonable further progress.</w:t>
      </w:r>
    </w:p>
    <w:p w14:paraId="35F3472C" w14:textId="77777777" w:rsidR="00154D42" w:rsidRDefault="00154D42" w:rsidP="00154D42">
      <w:pPr>
        <w:spacing w:line="240" w:lineRule="auto"/>
        <w:ind w:left="720" w:right="720"/>
        <w:jc w:val="both"/>
      </w:pPr>
      <w:r>
        <w:t>(3) Inventory</w:t>
      </w:r>
    </w:p>
    <w:p w14:paraId="50FE3CF9" w14:textId="77777777" w:rsidR="00154D42" w:rsidRDefault="00154D42" w:rsidP="00154D42">
      <w:pPr>
        <w:spacing w:line="240" w:lineRule="auto"/>
        <w:ind w:left="720" w:right="720"/>
        <w:jc w:val="both"/>
      </w:pPr>
      <w:r>
        <w:t xml:space="preserve">Such plan provisions shall include a comprehensive, accurate, current inventory of actual emissions from all sources of the relevant pollutant or pollutants in such area, </w:t>
      </w:r>
      <w:r>
        <w:lastRenderedPageBreak/>
        <w:t>including such periodic revisions as the Administrator may determine necessary to assure that the requirements of this part are met.</w:t>
      </w:r>
    </w:p>
    <w:p w14:paraId="4475FC11" w14:textId="77777777" w:rsidR="00154D42" w:rsidRDefault="00154D42" w:rsidP="00154D42">
      <w:pPr>
        <w:spacing w:line="240" w:lineRule="auto"/>
        <w:ind w:left="720" w:right="720"/>
        <w:jc w:val="both"/>
      </w:pPr>
      <w:r>
        <w:t>(4) Identification and quantification</w:t>
      </w:r>
    </w:p>
    <w:p w14:paraId="7D53E952" w14:textId="77777777" w:rsidR="00154D42" w:rsidRDefault="00154D42" w:rsidP="00154D42">
      <w:pPr>
        <w:spacing w:line="240" w:lineRule="auto"/>
        <w:ind w:left="720" w:right="720"/>
        <w:jc w:val="both"/>
      </w:pPr>
      <w:r>
        <w:t>Such plan provisions shall expressly identify and quantify the emissions, if any, of any such pollutant or pollutants which will be allowed, in accordance with section 7503(a)(1)(B) of this title, from the construction and operation of major new or modified stationary sources in each such area. The plan shall demonstrate to the satisfaction of the Administrator that the emissions quantified for this purpose will be consistent with the achievement of reasonable further progress and will not interfere with attainment of the applicable national ambient air quality standard by the applicable attainment date.</w:t>
      </w:r>
    </w:p>
    <w:p w14:paraId="172AE421" w14:textId="77777777" w:rsidR="00154D42" w:rsidRDefault="00154D42" w:rsidP="00154D42">
      <w:pPr>
        <w:spacing w:line="240" w:lineRule="auto"/>
        <w:ind w:left="720" w:right="720"/>
        <w:jc w:val="both"/>
      </w:pPr>
      <w:r>
        <w:t>(5) Permits for new and modified major stationary sources</w:t>
      </w:r>
    </w:p>
    <w:p w14:paraId="637E8AD8" w14:textId="77777777" w:rsidR="00154D42" w:rsidRDefault="00154D42" w:rsidP="00154D42">
      <w:pPr>
        <w:spacing w:line="240" w:lineRule="auto"/>
        <w:ind w:left="720" w:right="720"/>
        <w:jc w:val="both"/>
      </w:pPr>
      <w:r>
        <w:t>Such plan provisions shall require permits for the construction and operation of new or modified major stationary sources anywhere in the nonattainment area, in accordance with section 7503 of this title.</w:t>
      </w:r>
    </w:p>
    <w:p w14:paraId="08A17DE7" w14:textId="77777777" w:rsidR="00154D42" w:rsidRDefault="00154D42" w:rsidP="00154D42">
      <w:pPr>
        <w:spacing w:line="240" w:lineRule="auto"/>
        <w:ind w:left="720" w:right="720"/>
        <w:jc w:val="both"/>
      </w:pPr>
      <w:r>
        <w:t>(6) Other measures</w:t>
      </w:r>
    </w:p>
    <w:p w14:paraId="3667BCF1" w14:textId="77777777" w:rsidR="00154D42" w:rsidRDefault="00154D42" w:rsidP="00154D42">
      <w:pPr>
        <w:spacing w:line="240" w:lineRule="auto"/>
        <w:ind w:left="720" w:right="720"/>
        <w:jc w:val="both"/>
      </w:pPr>
      <w:r>
        <w:t>Such plan provisions shall include enforceable emission limitations, and such other control measures, means or techniques (including economic incentives such as fees, marketable permits, and auctions of emission rights), as well as schedules and timetables for compliance, as may be necessary or appropriate to provide for attainment of such standard in such area by the applicable attainment date specified in this part.</w:t>
      </w:r>
    </w:p>
    <w:p w14:paraId="44C841F7" w14:textId="77777777" w:rsidR="00154D42" w:rsidRDefault="00154D42" w:rsidP="00154D42">
      <w:pPr>
        <w:spacing w:line="240" w:lineRule="auto"/>
        <w:ind w:left="720" w:right="720"/>
        <w:jc w:val="both"/>
      </w:pPr>
      <w:r>
        <w:t>(7) Compliance with section 7410(a)(2)</w:t>
      </w:r>
    </w:p>
    <w:p w14:paraId="51978775" w14:textId="77777777" w:rsidR="00154D42" w:rsidRDefault="00154D42" w:rsidP="00154D42">
      <w:pPr>
        <w:spacing w:line="240" w:lineRule="auto"/>
        <w:ind w:left="720" w:right="720"/>
        <w:jc w:val="both"/>
      </w:pPr>
      <w:r>
        <w:t>Such plan provisions shall also meet the applicable provisions of section 7410(a)(2) of this title.</w:t>
      </w:r>
    </w:p>
    <w:p w14:paraId="3D346E78" w14:textId="77777777" w:rsidR="00154D42" w:rsidRDefault="00154D42" w:rsidP="00154D42">
      <w:pPr>
        <w:spacing w:line="240" w:lineRule="auto"/>
        <w:ind w:left="720" w:right="720"/>
        <w:jc w:val="both"/>
      </w:pPr>
      <w:r>
        <w:t>(8) Equivalent techniques</w:t>
      </w:r>
    </w:p>
    <w:p w14:paraId="1F7EB8B4" w14:textId="77777777" w:rsidR="00154D42" w:rsidRDefault="00154D42" w:rsidP="00154D42">
      <w:pPr>
        <w:spacing w:line="240" w:lineRule="auto"/>
        <w:ind w:left="720" w:right="720"/>
        <w:jc w:val="both"/>
      </w:pPr>
      <w:r>
        <w:t>Upon application by any State, the Administrator may allow the use of equivalent modeling, emission inventory, and planning procedures, unless the Administrator determines that the proposed techniques are, in the aggregate, less effective than the methods specified by the Administrator.</w:t>
      </w:r>
    </w:p>
    <w:p w14:paraId="5B809353" w14:textId="77777777" w:rsidR="00154D42" w:rsidRDefault="00154D42" w:rsidP="00154D42">
      <w:pPr>
        <w:spacing w:line="240" w:lineRule="auto"/>
        <w:ind w:left="720" w:right="720"/>
        <w:jc w:val="both"/>
      </w:pPr>
      <w:r>
        <w:t>(9) Contingency measures</w:t>
      </w:r>
    </w:p>
    <w:p w14:paraId="6EA0D15C" w14:textId="77777777" w:rsidR="00154D42" w:rsidRDefault="00154D42" w:rsidP="00154D42">
      <w:pPr>
        <w:spacing w:line="240" w:lineRule="auto"/>
        <w:ind w:left="720" w:right="720"/>
        <w:jc w:val="both"/>
      </w:pPr>
      <w:r>
        <w:t xml:space="preserve">Such plan shall provide for the implementation of specific measures to be undertaken if the area fails to make reasonable further progress, or to attain the national primary ambient air quality standard by the attainment date applicable under this part. Such measures shall be included in the plan revision as contingency measures to take effect in any such case without further action by the State or the Administrator.  </w:t>
      </w:r>
    </w:p>
    <w:p w14:paraId="2A8C9A14" w14:textId="6259BC84" w:rsidR="00154D42" w:rsidRDefault="00154D42" w:rsidP="00154D42">
      <w:pPr>
        <w:spacing w:after="0" w:line="240" w:lineRule="auto"/>
        <w:jc w:val="both"/>
      </w:pPr>
      <w:r>
        <w:t xml:space="preserve">42 U.S.C. § 7502(c) (1990) (emphasis added).  </w:t>
      </w:r>
    </w:p>
    <w:p w14:paraId="27A202A0" w14:textId="77777777" w:rsidR="00154D42" w:rsidRDefault="00154D42" w:rsidP="00154D42">
      <w:pPr>
        <w:spacing w:after="0" w:line="240" w:lineRule="auto"/>
        <w:jc w:val="both"/>
      </w:pPr>
    </w:p>
    <w:p w14:paraId="2270973A" w14:textId="4FD8699B" w:rsidR="00F05096" w:rsidRDefault="00154D42" w:rsidP="00154D42">
      <w:pPr>
        <w:pStyle w:val="ListParagraph"/>
        <w:numPr>
          <w:ilvl w:val="0"/>
          <w:numId w:val="2"/>
        </w:numPr>
        <w:spacing w:after="0" w:line="480" w:lineRule="auto"/>
        <w:ind w:left="0" w:firstLine="720"/>
        <w:jc w:val="both"/>
      </w:pPr>
      <w:r>
        <w:lastRenderedPageBreak/>
        <w:t>The Board finds that t</w:t>
      </w:r>
      <w:r w:rsidR="00F05096">
        <w:t xml:space="preserve">he Ozone Advance Path Forward </w:t>
      </w:r>
      <w:r>
        <w:t>document (</w:t>
      </w:r>
      <w:r>
        <w:rPr>
          <w:b/>
          <w:bCs/>
        </w:rPr>
        <w:t>NMED Ex. 4</w:t>
      </w:r>
      <w:r w:rsidRPr="00154D42">
        <w:t>)</w:t>
      </w:r>
      <w:r>
        <w:t xml:space="preserve"> </w:t>
      </w:r>
      <w:r w:rsidR="00F05096">
        <w:t xml:space="preserve">is not </w:t>
      </w:r>
      <w:r w:rsidR="00D70C84">
        <w:t>sufficient</w:t>
      </w:r>
      <w:r w:rsidR="00F05096">
        <w:t xml:space="preserve"> under Section 74-2-5</w:t>
      </w:r>
      <w:r w:rsidR="00D70C84">
        <w:t>(C)</w:t>
      </w:r>
      <w:r>
        <w:t xml:space="preserve"> because it lacks the </w:t>
      </w:r>
      <w:r w:rsidR="00D70C84">
        <w:t>requisite</w:t>
      </w:r>
      <w:r>
        <w:t xml:space="preserve"> level of detail </w:t>
      </w:r>
      <w:r w:rsidR="00D70C84">
        <w:t xml:space="preserve">and support </w:t>
      </w:r>
      <w:r>
        <w:t xml:space="preserve">required </w:t>
      </w:r>
      <w:r w:rsidR="00D70C84">
        <w:t>for an attainment or nonattainment</w:t>
      </w:r>
      <w:r>
        <w:t xml:space="preserve"> SIP</w:t>
      </w:r>
      <w:r w:rsidR="00D70C84">
        <w:t xml:space="preserve"> under the federal Clean Air Act</w:t>
      </w:r>
      <w:r w:rsidR="00CE66C5">
        <w:t>.</w:t>
      </w:r>
    </w:p>
    <w:p w14:paraId="11A903D3" w14:textId="294B2A6F" w:rsidR="00035F5E" w:rsidRPr="00A61B8B" w:rsidRDefault="001A00E8" w:rsidP="00A61B8B">
      <w:pPr>
        <w:pStyle w:val="Heading2"/>
      </w:pPr>
      <w:bookmarkStart w:id="5" w:name="_Toc93581883"/>
      <w:r w:rsidRPr="00A61B8B">
        <w:t>20.2.50.2 Scope</w:t>
      </w:r>
      <w:bookmarkEnd w:id="5"/>
    </w:p>
    <w:p w14:paraId="7729C2D1" w14:textId="5D1E98CC" w:rsidR="00FD27BB" w:rsidRPr="00530B03" w:rsidRDefault="00FD27BB" w:rsidP="00530B03">
      <w:pPr>
        <w:pStyle w:val="Heading3"/>
      </w:pPr>
      <w:bookmarkStart w:id="6" w:name="_Toc93581884"/>
      <w:r w:rsidRPr="00530B03">
        <w:t>Areas Subject to Part 50</w:t>
      </w:r>
      <w:bookmarkEnd w:id="6"/>
    </w:p>
    <w:p w14:paraId="79D8A538" w14:textId="2EB1FC66" w:rsidR="00FD27BB" w:rsidRDefault="00FD27BB" w:rsidP="00FD27BB">
      <w:pPr>
        <w:spacing w:after="0" w:line="240" w:lineRule="auto"/>
      </w:pPr>
    </w:p>
    <w:p w14:paraId="49066674" w14:textId="77777777" w:rsidR="00530B03" w:rsidRDefault="006D107B" w:rsidP="00530B03">
      <w:pPr>
        <w:pStyle w:val="ListParagraph"/>
        <w:numPr>
          <w:ilvl w:val="0"/>
          <w:numId w:val="2"/>
        </w:numPr>
        <w:spacing w:after="0" w:line="480" w:lineRule="auto"/>
        <w:ind w:left="0" w:firstLine="720"/>
        <w:jc w:val="both"/>
      </w:pPr>
      <w:r>
        <w:t xml:space="preserve">NMED proposed to implement Part 50 in </w:t>
      </w:r>
      <w:r w:rsidRPr="006D107B">
        <w:t>the following counties of the state are subject to this Part: Chaves, Dona Ana, Eddy, Lea, Rio Arriba, Sandoval, San Juan, and Valencia.</w:t>
      </w:r>
    </w:p>
    <w:p w14:paraId="7D2C9258" w14:textId="3A1F4A7C" w:rsidR="00FD27BB" w:rsidRPr="00530B03" w:rsidRDefault="00627108" w:rsidP="00530B03">
      <w:pPr>
        <w:pStyle w:val="ListParagraph"/>
        <w:numPr>
          <w:ilvl w:val="0"/>
          <w:numId w:val="2"/>
        </w:numPr>
        <w:spacing w:after="0" w:line="480" w:lineRule="auto"/>
        <w:ind w:left="0" w:firstLine="720"/>
        <w:jc w:val="both"/>
      </w:pPr>
      <w:r>
        <w:t xml:space="preserve">NMED stated that Chaves and Rio Arriba counties were included because sources in those counties may cause or contribute to ozone concentrations </w:t>
      </w:r>
      <w:proofErr w:type="gramStart"/>
      <w:r>
        <w:t>in excess of</w:t>
      </w:r>
      <w:proofErr w:type="gramEnd"/>
      <w:r>
        <w:t xml:space="preserve"> 95 % of the ozone NAAQS in other counties.  </w:t>
      </w:r>
      <w:r w:rsidR="00F146EA">
        <w:t>Tr. Vol. 1, 298:10-19 (Baca).</w:t>
      </w:r>
    </w:p>
    <w:p w14:paraId="1B01716A" w14:textId="32345BBD" w:rsidR="00627108" w:rsidRDefault="00627108" w:rsidP="00222BB5">
      <w:pPr>
        <w:pStyle w:val="ListParagraph"/>
        <w:numPr>
          <w:ilvl w:val="0"/>
          <w:numId w:val="2"/>
        </w:numPr>
        <w:spacing w:after="0" w:line="480" w:lineRule="auto"/>
        <w:ind w:left="0" w:firstLine="720"/>
        <w:jc w:val="both"/>
      </w:pPr>
      <w:r>
        <w:t>The Air Act, Section 74-2-5</w:t>
      </w:r>
      <w:r w:rsidR="00AC28DE">
        <w:t>(C), limits the Board’s authority to sources “</w:t>
      </w:r>
      <w:r w:rsidR="00AC28DE" w:rsidRPr="00AC28DE">
        <w:t>sources of emissions within the area of the state where the ozone concentrations exceed ninety-five percent of the primary national ambient air</w:t>
      </w:r>
      <w:r w:rsidR="002B0CA0">
        <w:t xml:space="preserve"> quality standard.”</w:t>
      </w:r>
    </w:p>
    <w:p w14:paraId="1DB0422C" w14:textId="117E844E" w:rsidR="002B0CA0" w:rsidRPr="00627108" w:rsidRDefault="002B0CA0" w:rsidP="00222BB5">
      <w:pPr>
        <w:pStyle w:val="ListParagraph"/>
        <w:numPr>
          <w:ilvl w:val="0"/>
          <w:numId w:val="2"/>
        </w:numPr>
        <w:spacing w:after="0" w:line="480" w:lineRule="auto"/>
        <w:ind w:left="0" w:firstLine="720"/>
        <w:jc w:val="both"/>
      </w:pPr>
      <w:r>
        <w:t xml:space="preserve">Because Chaves and Rio Arriba counties do not exceed 95% of the ozone NAAQS, sources in those counties cannot be subject to the </w:t>
      </w:r>
      <w:r w:rsidR="003451DC">
        <w:t>O</w:t>
      </w:r>
      <w:r>
        <w:t xml:space="preserve">zone </w:t>
      </w:r>
      <w:r w:rsidR="003451DC">
        <w:t>R</w:t>
      </w:r>
      <w:r>
        <w:t>ule.</w:t>
      </w:r>
    </w:p>
    <w:p w14:paraId="2B2BA44E" w14:textId="7DB3D61B" w:rsidR="001A00E8" w:rsidRDefault="001A00E8" w:rsidP="00A61B8B">
      <w:pPr>
        <w:pStyle w:val="Heading3"/>
      </w:pPr>
      <w:bookmarkStart w:id="7" w:name="_Toc93581885"/>
      <w:r w:rsidRPr="00A61B8B">
        <w:t>Relative Source Contribution</w:t>
      </w:r>
      <w:bookmarkEnd w:id="7"/>
    </w:p>
    <w:p w14:paraId="6B3A8BF0" w14:textId="77777777" w:rsidR="00B81B3E" w:rsidRPr="00B81B3E" w:rsidRDefault="00B81B3E" w:rsidP="00B81B3E">
      <w:pPr>
        <w:spacing w:after="0"/>
      </w:pPr>
    </w:p>
    <w:p w14:paraId="4A5E075B" w14:textId="6BA3EBBC" w:rsidR="00395A72" w:rsidRDefault="00395A72" w:rsidP="00395A72">
      <w:pPr>
        <w:pStyle w:val="ListParagraph"/>
        <w:numPr>
          <w:ilvl w:val="0"/>
          <w:numId w:val="2"/>
        </w:numPr>
        <w:spacing w:after="0" w:line="480" w:lineRule="auto"/>
        <w:ind w:left="0" w:firstLine="720"/>
        <w:jc w:val="both"/>
      </w:pPr>
      <w:r>
        <w:t xml:space="preserve">NMED completed modeling and baseline emission inventories to create a base case for ozone impacts.  </w:t>
      </w:r>
      <w:r>
        <w:rPr>
          <w:b/>
          <w:bCs/>
        </w:rPr>
        <w:t>NMED Ex. 15</w:t>
      </w:r>
      <w:r>
        <w:t xml:space="preserve"> (Photochemical Modeling Protocol); </w:t>
      </w:r>
      <w:r>
        <w:rPr>
          <w:b/>
          <w:bCs/>
        </w:rPr>
        <w:t>NMED Ex. 16</w:t>
      </w:r>
      <w:r>
        <w:t xml:space="preserve"> (2014 Modeling Platform Development and Model Evaluation); </w:t>
      </w:r>
      <w:r>
        <w:rPr>
          <w:b/>
          <w:bCs/>
        </w:rPr>
        <w:t xml:space="preserve">NMED Ex. 17 </w:t>
      </w:r>
      <w:r>
        <w:t xml:space="preserve">(Air Quality Technical Support Document); </w:t>
      </w:r>
      <w:r>
        <w:rPr>
          <w:b/>
          <w:bCs/>
        </w:rPr>
        <w:t>NMED Ex. 18</w:t>
      </w:r>
      <w:r>
        <w:t xml:space="preserve"> (</w:t>
      </w:r>
      <w:r w:rsidR="005E6067">
        <w:t xml:space="preserve">New Mexico OAI Study Photochemical First monthly Webinar May 2020); </w:t>
      </w:r>
      <w:r w:rsidR="005E6067">
        <w:rPr>
          <w:b/>
          <w:bCs/>
        </w:rPr>
        <w:t>NMED Ex. 19</w:t>
      </w:r>
      <w:r w:rsidR="005E6067">
        <w:t xml:space="preserve"> (New Mexico OAI Study Photochemical Monthly Webinar June 2020); </w:t>
      </w:r>
      <w:r w:rsidR="005E6067">
        <w:rPr>
          <w:b/>
          <w:bCs/>
        </w:rPr>
        <w:t>NMED Ex. 20</w:t>
      </w:r>
      <w:r w:rsidR="005E6067">
        <w:t xml:space="preserve"> (2014 and 2023 Emissions, CAMx WRF Sensitivity Tests and Final Model Configuration); </w:t>
      </w:r>
      <w:r w:rsidR="005E6067">
        <w:rPr>
          <w:b/>
          <w:bCs/>
        </w:rPr>
        <w:t>NMED Ex. 21</w:t>
      </w:r>
      <w:r w:rsidR="005E6067">
        <w:t xml:space="preserve"> (Emissions, CAMx, Base and Model Performance, 2023 </w:t>
      </w:r>
      <w:r w:rsidR="005E6067">
        <w:lastRenderedPageBreak/>
        <w:t xml:space="preserve">CAMx Model Status); </w:t>
      </w:r>
      <w:r w:rsidR="005E6067">
        <w:rPr>
          <w:b/>
          <w:bCs/>
        </w:rPr>
        <w:t>NMED Ex. 22</w:t>
      </w:r>
      <w:r w:rsidR="005E6067">
        <w:t xml:space="preserve"> (2014 and 3028 Emissions Development); and </w:t>
      </w:r>
      <w:r w:rsidR="005E6067">
        <w:rPr>
          <w:b/>
          <w:bCs/>
        </w:rPr>
        <w:t>NMED E</w:t>
      </w:r>
      <w:r w:rsidR="001A32F6">
        <w:rPr>
          <w:b/>
          <w:bCs/>
        </w:rPr>
        <w:t>x</w:t>
      </w:r>
      <w:r w:rsidR="005E6067">
        <w:rPr>
          <w:b/>
          <w:bCs/>
        </w:rPr>
        <w:t>. 23</w:t>
      </w:r>
      <w:r w:rsidR="005E6067">
        <w:t xml:space="preserve"> (Revised 2014 v2 Base Case, 2028 Base Case).</w:t>
      </w:r>
    </w:p>
    <w:p w14:paraId="4983F5D0" w14:textId="512E581A" w:rsidR="006D024D" w:rsidRDefault="006D024D" w:rsidP="00395A72">
      <w:pPr>
        <w:pStyle w:val="ListParagraph"/>
        <w:numPr>
          <w:ilvl w:val="0"/>
          <w:numId w:val="2"/>
        </w:numPr>
        <w:spacing w:after="0" w:line="480" w:lineRule="auto"/>
        <w:ind w:left="0" w:firstLine="720"/>
        <w:jc w:val="both"/>
      </w:pPr>
      <w:r>
        <w:t>NMED ozone monitoring data and modeling shows that the contribution to ozone design values from New Mexico sources is: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5"/>
        <w:gridCol w:w="1632"/>
      </w:tblGrid>
      <w:tr w:rsidR="006D024D" w14:paraId="25621EAA" w14:textId="77777777" w:rsidTr="00DA3B91">
        <w:trPr>
          <w:trHeight w:val="21"/>
          <w:jc w:val="center"/>
        </w:trPr>
        <w:tc>
          <w:tcPr>
            <w:tcW w:w="2305" w:type="dxa"/>
          </w:tcPr>
          <w:p w14:paraId="400D058D" w14:textId="78808AD3" w:rsidR="006D024D" w:rsidRDefault="006D024D" w:rsidP="00DA3B91">
            <w:pPr>
              <w:pStyle w:val="ListParagraph"/>
              <w:numPr>
                <w:ilvl w:val="0"/>
                <w:numId w:val="4"/>
              </w:numPr>
              <w:jc w:val="right"/>
            </w:pPr>
            <w:r>
              <w:t>Bloomfield</w:t>
            </w:r>
          </w:p>
        </w:tc>
        <w:tc>
          <w:tcPr>
            <w:tcW w:w="1632" w:type="dxa"/>
          </w:tcPr>
          <w:p w14:paraId="4E9AD820" w14:textId="65AAAC0A" w:rsidR="006D024D" w:rsidRDefault="006D024D" w:rsidP="006D024D">
            <w:pPr>
              <w:pStyle w:val="ListParagraph"/>
              <w:ind w:left="0"/>
              <w:jc w:val="both"/>
            </w:pPr>
            <w:r>
              <w:t>4.8 ppb</w:t>
            </w:r>
          </w:p>
        </w:tc>
      </w:tr>
      <w:tr w:rsidR="006D024D" w14:paraId="49F6CA2B" w14:textId="77777777" w:rsidTr="00DA3B91">
        <w:trPr>
          <w:trHeight w:val="22"/>
          <w:jc w:val="center"/>
        </w:trPr>
        <w:tc>
          <w:tcPr>
            <w:tcW w:w="2305" w:type="dxa"/>
          </w:tcPr>
          <w:p w14:paraId="403F2DD5" w14:textId="7414823F" w:rsidR="006D024D" w:rsidRDefault="006D024D" w:rsidP="00DA3B91">
            <w:pPr>
              <w:pStyle w:val="ListParagraph"/>
              <w:numPr>
                <w:ilvl w:val="0"/>
                <w:numId w:val="4"/>
              </w:numPr>
              <w:jc w:val="right"/>
            </w:pPr>
            <w:r>
              <w:t>Navajo Lake</w:t>
            </w:r>
          </w:p>
        </w:tc>
        <w:tc>
          <w:tcPr>
            <w:tcW w:w="1632" w:type="dxa"/>
          </w:tcPr>
          <w:p w14:paraId="52CE288F" w14:textId="065F1825" w:rsidR="006D024D" w:rsidRDefault="006D024D" w:rsidP="006D024D">
            <w:pPr>
              <w:pStyle w:val="ListParagraph"/>
              <w:ind w:left="0"/>
              <w:jc w:val="both"/>
            </w:pPr>
            <w:r>
              <w:t>5.6 ppb</w:t>
            </w:r>
          </w:p>
        </w:tc>
      </w:tr>
      <w:tr w:rsidR="006D024D" w14:paraId="5E779B56" w14:textId="77777777" w:rsidTr="00DA3B91">
        <w:trPr>
          <w:trHeight w:val="21"/>
          <w:jc w:val="center"/>
        </w:trPr>
        <w:tc>
          <w:tcPr>
            <w:tcW w:w="2305" w:type="dxa"/>
          </w:tcPr>
          <w:p w14:paraId="1BB6B3C2" w14:textId="6E60CB2D" w:rsidR="006D024D" w:rsidRDefault="006D024D" w:rsidP="00DA3B91">
            <w:pPr>
              <w:pStyle w:val="ListParagraph"/>
              <w:numPr>
                <w:ilvl w:val="0"/>
                <w:numId w:val="4"/>
              </w:numPr>
              <w:jc w:val="right"/>
            </w:pPr>
            <w:r>
              <w:t>Sub-Station</w:t>
            </w:r>
          </w:p>
        </w:tc>
        <w:tc>
          <w:tcPr>
            <w:tcW w:w="1632" w:type="dxa"/>
          </w:tcPr>
          <w:p w14:paraId="4B1ACEAD" w14:textId="7F5300CE" w:rsidR="006D024D" w:rsidRDefault="006D024D" w:rsidP="006D024D">
            <w:pPr>
              <w:pStyle w:val="ListParagraph"/>
              <w:ind w:left="0"/>
              <w:jc w:val="both"/>
            </w:pPr>
            <w:r>
              <w:t>6.4 ppb</w:t>
            </w:r>
          </w:p>
        </w:tc>
      </w:tr>
      <w:tr w:rsidR="006D024D" w14:paraId="4A9F2763" w14:textId="77777777" w:rsidTr="00DA3B91">
        <w:trPr>
          <w:trHeight w:val="21"/>
          <w:jc w:val="center"/>
        </w:trPr>
        <w:tc>
          <w:tcPr>
            <w:tcW w:w="2305" w:type="dxa"/>
          </w:tcPr>
          <w:p w14:paraId="2D8F1FF0" w14:textId="30E0A05A" w:rsidR="006D024D" w:rsidRDefault="006D024D" w:rsidP="00DA3B91">
            <w:pPr>
              <w:pStyle w:val="ListParagraph"/>
              <w:numPr>
                <w:ilvl w:val="0"/>
                <w:numId w:val="4"/>
              </w:numPr>
              <w:jc w:val="right"/>
            </w:pPr>
            <w:r>
              <w:t>Dona Ana</w:t>
            </w:r>
          </w:p>
        </w:tc>
        <w:tc>
          <w:tcPr>
            <w:tcW w:w="1632" w:type="dxa"/>
          </w:tcPr>
          <w:p w14:paraId="66C91107" w14:textId="4F648483" w:rsidR="006D024D" w:rsidRDefault="006D024D" w:rsidP="006D024D">
            <w:pPr>
              <w:pStyle w:val="ListParagraph"/>
              <w:ind w:left="0"/>
              <w:jc w:val="both"/>
            </w:pPr>
            <w:r>
              <w:t>3.4 ppb</w:t>
            </w:r>
          </w:p>
        </w:tc>
      </w:tr>
      <w:tr w:rsidR="006D024D" w14:paraId="14CAD2A8" w14:textId="77777777" w:rsidTr="00DA3B91">
        <w:trPr>
          <w:trHeight w:val="22"/>
          <w:jc w:val="center"/>
        </w:trPr>
        <w:tc>
          <w:tcPr>
            <w:tcW w:w="2305" w:type="dxa"/>
          </w:tcPr>
          <w:p w14:paraId="56B6E5BE" w14:textId="719EE9E9" w:rsidR="006D024D" w:rsidRDefault="006D024D" w:rsidP="00DA3B91">
            <w:pPr>
              <w:pStyle w:val="ListParagraph"/>
              <w:numPr>
                <w:ilvl w:val="0"/>
                <w:numId w:val="4"/>
              </w:numPr>
              <w:jc w:val="right"/>
            </w:pPr>
            <w:r>
              <w:t>Carlsbad City</w:t>
            </w:r>
          </w:p>
        </w:tc>
        <w:tc>
          <w:tcPr>
            <w:tcW w:w="1632" w:type="dxa"/>
          </w:tcPr>
          <w:p w14:paraId="41988FA0" w14:textId="4EBF8A4F" w:rsidR="006D024D" w:rsidRDefault="006D024D" w:rsidP="006D024D">
            <w:pPr>
              <w:pStyle w:val="ListParagraph"/>
              <w:ind w:left="0"/>
              <w:jc w:val="both"/>
            </w:pPr>
            <w:r>
              <w:t>1.9 ppb</w:t>
            </w:r>
          </w:p>
        </w:tc>
      </w:tr>
    </w:tbl>
    <w:p w14:paraId="79F6C49E" w14:textId="216ED3A3" w:rsidR="006D024D" w:rsidRDefault="00A84A86" w:rsidP="00A84A86">
      <w:pPr>
        <w:spacing w:after="0" w:line="480" w:lineRule="auto"/>
        <w:jc w:val="both"/>
      </w:pPr>
      <w:r>
        <w:rPr>
          <w:b/>
          <w:bCs/>
        </w:rPr>
        <w:t>IPANM Ex. 6</w:t>
      </w:r>
      <w:r>
        <w:t xml:space="preserve"> at 6 (Blewitt Direct).</w:t>
      </w:r>
    </w:p>
    <w:p w14:paraId="298D485F" w14:textId="41CA54A7" w:rsidR="00A84A86" w:rsidRDefault="00A84A86" w:rsidP="00A84A86">
      <w:pPr>
        <w:pStyle w:val="ListParagraph"/>
        <w:numPr>
          <w:ilvl w:val="0"/>
          <w:numId w:val="2"/>
        </w:numPr>
        <w:spacing w:after="0" w:line="480" w:lineRule="auto"/>
        <w:ind w:left="0" w:firstLine="720"/>
        <w:jc w:val="both"/>
      </w:pPr>
      <w:r>
        <w:t xml:space="preserve">The combined predicted total Oil and Gas impacts on ozone is only 0.5 ppb.  </w:t>
      </w:r>
      <w:r>
        <w:rPr>
          <w:b/>
          <w:bCs/>
        </w:rPr>
        <w:t>IPANM Ex. 6</w:t>
      </w:r>
      <w:r>
        <w:t xml:space="preserve"> at 6 (Blewitt Direct).</w:t>
      </w:r>
    </w:p>
    <w:p w14:paraId="33B9D2C8" w14:textId="33521DB6" w:rsidR="00A84A86" w:rsidRDefault="00A84A86" w:rsidP="00A84A86">
      <w:pPr>
        <w:pStyle w:val="ListParagraph"/>
        <w:numPr>
          <w:ilvl w:val="0"/>
          <w:numId w:val="2"/>
        </w:numPr>
        <w:spacing w:after="0" w:line="480" w:lineRule="auto"/>
        <w:ind w:left="0" w:firstLine="720"/>
        <w:jc w:val="both"/>
      </w:pPr>
      <w:r>
        <w:t xml:space="preserve">The remainder of ozone impacts are from sources outside of New Mexico.  </w:t>
      </w:r>
      <w:r>
        <w:rPr>
          <w:b/>
          <w:bCs/>
        </w:rPr>
        <w:t>IPANM Ex. 6</w:t>
      </w:r>
      <w:r>
        <w:t xml:space="preserve"> at 6 (Blewitt Direct)</w:t>
      </w:r>
      <w:r w:rsidR="0064007A">
        <w:t xml:space="preserve">; </w:t>
      </w:r>
      <w:r w:rsidR="0064007A">
        <w:rPr>
          <w:b/>
          <w:bCs/>
        </w:rPr>
        <w:t>NMOGA Appendix A4</w:t>
      </w:r>
      <w:r w:rsidR="0064007A">
        <w:t xml:space="preserve"> at 11 (McNally Direct).</w:t>
      </w:r>
      <w:r>
        <w:t xml:space="preserve">  </w:t>
      </w:r>
    </w:p>
    <w:p w14:paraId="4B199FDD" w14:textId="2AFA19F7" w:rsidR="00A84A86" w:rsidRDefault="00A84A86" w:rsidP="00A84A86">
      <w:pPr>
        <w:pStyle w:val="ListParagraph"/>
        <w:numPr>
          <w:ilvl w:val="0"/>
          <w:numId w:val="2"/>
        </w:numPr>
        <w:spacing w:after="0" w:line="480" w:lineRule="auto"/>
        <w:ind w:left="0" w:firstLine="720"/>
        <w:jc w:val="both"/>
      </w:pPr>
      <w:r>
        <w:t xml:space="preserve">New Mexico has no </w:t>
      </w:r>
      <w:r w:rsidR="00F61E54">
        <w:t>ability</w:t>
      </w:r>
      <w:r>
        <w:t xml:space="preserve"> to </w:t>
      </w:r>
      <w:r w:rsidR="00F61E54">
        <w:t>require</w:t>
      </w:r>
      <w:r>
        <w:t xml:space="preserve"> ozone </w:t>
      </w:r>
      <w:r w:rsidR="00F61E54">
        <w:t xml:space="preserve">precursor emissions </w:t>
      </w:r>
      <w:r>
        <w:t xml:space="preserve">reductions beyond its borders.  </w:t>
      </w:r>
      <w:r>
        <w:rPr>
          <w:b/>
          <w:bCs/>
        </w:rPr>
        <w:t>IPANM Ex. 6</w:t>
      </w:r>
      <w:r>
        <w:t xml:space="preserve"> at 7 (Blewitt Dire</w:t>
      </w:r>
      <w:r w:rsidR="009A358F">
        <w:t>c</w:t>
      </w:r>
      <w:r>
        <w:t>t).</w:t>
      </w:r>
    </w:p>
    <w:p w14:paraId="28001E91" w14:textId="77777777" w:rsidR="00795A43" w:rsidRDefault="009A358F" w:rsidP="00A84A86">
      <w:pPr>
        <w:pStyle w:val="ListParagraph"/>
        <w:numPr>
          <w:ilvl w:val="0"/>
          <w:numId w:val="2"/>
        </w:numPr>
        <w:spacing w:after="0" w:line="480" w:lineRule="auto"/>
        <w:ind w:left="0" w:firstLine="720"/>
        <w:jc w:val="both"/>
      </w:pPr>
      <w:r>
        <w:t xml:space="preserve">Under modeling results calculated by IPANM’s expert Mr. Doug Blewitt, implementing the Oil and Gas control strategies from the rule results in an insignificant decrease in the amount of ozone.  </w:t>
      </w:r>
      <w:r>
        <w:rPr>
          <w:b/>
          <w:bCs/>
        </w:rPr>
        <w:t xml:space="preserve">IPANM Ex. 6 </w:t>
      </w:r>
      <w:r>
        <w:t>at 8-9 (Blewitt Direct).</w:t>
      </w:r>
      <w:r w:rsidR="00EE7124">
        <w:t xml:space="preserve">  </w:t>
      </w:r>
    </w:p>
    <w:p w14:paraId="538C7A04" w14:textId="3B7238F7" w:rsidR="009A358F" w:rsidRPr="00E23CC1" w:rsidRDefault="00EE7124" w:rsidP="00A84A86">
      <w:pPr>
        <w:pStyle w:val="ListParagraph"/>
        <w:numPr>
          <w:ilvl w:val="0"/>
          <w:numId w:val="2"/>
        </w:numPr>
        <w:spacing w:after="0" w:line="480" w:lineRule="auto"/>
        <w:ind w:left="0" w:firstLine="720"/>
        <w:jc w:val="both"/>
      </w:pPr>
      <w:r>
        <w:t xml:space="preserve">For all monitors except Carlsbad, the 2028 </w:t>
      </w:r>
      <w:r w:rsidR="00BA5B7D">
        <w:t xml:space="preserve">control base case demonstrates </w:t>
      </w:r>
      <w:r w:rsidR="00834CEE">
        <w:t xml:space="preserve">that </w:t>
      </w:r>
      <w:r w:rsidR="00BA5B7D">
        <w:t xml:space="preserve">all monitors </w:t>
      </w:r>
      <w:r w:rsidR="00834CEE">
        <w:t>will</w:t>
      </w:r>
      <w:r w:rsidR="00BA5B7D">
        <w:t xml:space="preserve"> be below the </w:t>
      </w:r>
      <w:proofErr w:type="gramStart"/>
      <w:r w:rsidR="00BA5B7D">
        <w:t>70 ppb</w:t>
      </w:r>
      <w:proofErr w:type="gramEnd"/>
      <w:r w:rsidR="00BA5B7D">
        <w:t xml:space="preserve"> ozone NAAQS</w:t>
      </w:r>
      <w:r w:rsidR="00834CEE">
        <w:t xml:space="preserve"> without reductions attributable to the proposed Ozone Rules</w:t>
      </w:r>
      <w:r w:rsidR="00BA5B7D">
        <w:t xml:space="preserve">.  </w:t>
      </w:r>
      <w:r w:rsidR="00BA5B7D" w:rsidRPr="00EC5457">
        <w:rPr>
          <w:b/>
          <w:bCs/>
          <w:i/>
          <w:iCs/>
        </w:rPr>
        <w:t>Id.</w:t>
      </w:r>
      <w:r w:rsidR="00BA5B7D">
        <w:t xml:space="preserve"> at 9.  For Carlsbad, without the implementation of </w:t>
      </w:r>
      <w:r w:rsidR="00834CEE">
        <w:t xml:space="preserve">further emissions </w:t>
      </w:r>
      <w:r w:rsidR="00BA5B7D">
        <w:t xml:space="preserve">controls, the 2028 base case design value </w:t>
      </w:r>
      <w:r w:rsidR="00316E80">
        <w:t xml:space="preserve">slightly </w:t>
      </w:r>
      <w:r w:rsidR="00BA5B7D">
        <w:t xml:space="preserve">moves from 73.7 ppb to 71.2 ppb.  </w:t>
      </w:r>
      <w:r w:rsidR="00BA5B7D" w:rsidRPr="00EC5457">
        <w:rPr>
          <w:b/>
          <w:bCs/>
          <w:i/>
          <w:iCs/>
        </w:rPr>
        <w:t>Id.</w:t>
      </w:r>
      <w:r w:rsidR="00BA5B7D">
        <w:t xml:space="preserve">  When </w:t>
      </w:r>
      <w:r w:rsidR="00834CEE">
        <w:t xml:space="preserve">the proposed Ozone Rules </w:t>
      </w:r>
      <w:r w:rsidR="00BA5B7D">
        <w:t xml:space="preserve">controls are applied on top of this, the design value reduces by 0.3 ppb to 70.9 ppb.  </w:t>
      </w:r>
      <w:r w:rsidR="00BA5B7D" w:rsidRPr="00EC5457">
        <w:rPr>
          <w:b/>
          <w:bCs/>
          <w:i/>
          <w:iCs/>
        </w:rPr>
        <w:t>Id.</w:t>
      </w:r>
      <w:r w:rsidR="00BA5B7D">
        <w:t xml:space="preserve">  </w:t>
      </w:r>
    </w:p>
    <w:p w14:paraId="5B12D495" w14:textId="00F55684" w:rsidR="00E23CC1" w:rsidRDefault="00E23CC1" w:rsidP="00A84A86">
      <w:pPr>
        <w:pStyle w:val="ListParagraph"/>
        <w:numPr>
          <w:ilvl w:val="0"/>
          <w:numId w:val="2"/>
        </w:numPr>
        <w:spacing w:after="0" w:line="480" w:lineRule="auto"/>
        <w:ind w:left="0" w:firstLine="720"/>
        <w:jc w:val="both"/>
      </w:pPr>
      <w:r>
        <w:lastRenderedPageBreak/>
        <w:t xml:space="preserve">NMED </w:t>
      </w:r>
      <w:r w:rsidR="00795A43">
        <w:t>acknowledged</w:t>
      </w:r>
      <w:r>
        <w:t xml:space="preserve"> that New Mexico has no regulatory control of emissions outside of New Mexico.  </w:t>
      </w:r>
      <w:r>
        <w:rPr>
          <w:b/>
          <w:bCs/>
        </w:rPr>
        <w:t>NMED Reb. Ex. 11</w:t>
      </w:r>
      <w:r>
        <w:t xml:space="preserve">, at 13 (Morris Rebuttal).  </w:t>
      </w:r>
      <w:r w:rsidR="003C0441">
        <w:t>NMED a</w:t>
      </w:r>
      <w:r>
        <w:t xml:space="preserve">lso </w:t>
      </w:r>
      <w:r w:rsidR="00795A43">
        <w:t>conceded</w:t>
      </w:r>
      <w:r w:rsidR="00316E80">
        <w:t xml:space="preserve"> </w:t>
      </w:r>
      <w:r>
        <w:t xml:space="preserve">that controls </w:t>
      </w:r>
      <w:r w:rsidR="00834CEE">
        <w:t xml:space="preserve">required by the Ozone Rules </w:t>
      </w:r>
      <w:r>
        <w:t>yield small reductions in ozone concentrations</w:t>
      </w:r>
      <w:r w:rsidR="00834CEE">
        <w:t xml:space="preserve"> in New Mexico</w:t>
      </w:r>
      <w:r>
        <w:t xml:space="preserve">.  </w:t>
      </w:r>
      <w:r w:rsidRPr="00EC5457">
        <w:rPr>
          <w:b/>
          <w:bCs/>
          <w:i/>
          <w:iCs/>
        </w:rPr>
        <w:t>Id.</w:t>
      </w:r>
      <w:r>
        <w:t xml:space="preserve">  However, NMED </w:t>
      </w:r>
      <w:r w:rsidR="00795A43">
        <w:t>disagreed</w:t>
      </w:r>
      <w:r>
        <w:t xml:space="preserve"> that regulation at this small of a sca</w:t>
      </w:r>
      <w:r w:rsidR="00A121D7">
        <w:t>l</w:t>
      </w:r>
      <w:r>
        <w:t xml:space="preserve">e </w:t>
      </w:r>
      <w:r w:rsidR="006E2D0A">
        <w:t xml:space="preserve">is </w:t>
      </w:r>
      <w:r>
        <w:t xml:space="preserve">inefficient or ineffective.  </w:t>
      </w:r>
      <w:r w:rsidRPr="00EC5457">
        <w:rPr>
          <w:b/>
          <w:bCs/>
          <w:i/>
          <w:iCs/>
        </w:rPr>
        <w:t>Id.</w:t>
      </w:r>
      <w:r>
        <w:t xml:space="preserve"> at </w:t>
      </w:r>
      <w:r w:rsidR="00370C0C">
        <w:t>6, 13.</w:t>
      </w:r>
    </w:p>
    <w:p w14:paraId="58A57277" w14:textId="46D87F54" w:rsidR="003D3D7E" w:rsidRDefault="003D3D7E" w:rsidP="00A84A86">
      <w:pPr>
        <w:pStyle w:val="ListParagraph"/>
        <w:numPr>
          <w:ilvl w:val="0"/>
          <w:numId w:val="2"/>
        </w:numPr>
        <w:spacing w:after="0" w:line="480" w:lineRule="auto"/>
        <w:ind w:left="0" w:firstLine="720"/>
        <w:jc w:val="both"/>
      </w:pPr>
      <w:r>
        <w:t xml:space="preserve">At the hearing, NMED reiterated that </w:t>
      </w:r>
      <w:proofErr w:type="gramStart"/>
      <w:r>
        <w:t>a majority of</w:t>
      </w:r>
      <w:proofErr w:type="gramEnd"/>
      <w:r>
        <w:t xml:space="preserve"> the ozone in New Mexico comes from outside of New Mexico.  Tr. Vol. 2, 374</w:t>
      </w:r>
      <w:r w:rsidR="00BB1141">
        <w:t>:</w:t>
      </w:r>
      <w:r>
        <w:t>17-19 (Morris).  NMED further testifie</w:t>
      </w:r>
      <w:r w:rsidR="00834CEE">
        <w:t>d</w:t>
      </w:r>
      <w:r>
        <w:t xml:space="preserve"> that by looking at the </w:t>
      </w:r>
      <w:r w:rsidR="00834CEE">
        <w:t xml:space="preserve">contributions from </w:t>
      </w:r>
      <w:r>
        <w:t xml:space="preserve">ozone </w:t>
      </w:r>
      <w:r w:rsidR="00834CEE">
        <w:t xml:space="preserve">precursor </w:t>
      </w:r>
      <w:r>
        <w:t>emissions inside New Mexico, 55% of the anthropogenic ozone emissions are from oil and gas at the Navajo Lake monitor, 71% at Hobbs</w:t>
      </w:r>
      <w:r w:rsidR="006E2D0A">
        <w:t>,</w:t>
      </w:r>
      <w:r>
        <w:t xml:space="preserve"> and 20</w:t>
      </w:r>
      <w:r w:rsidR="00BB1141">
        <w:t xml:space="preserve">% at the Desert View monitors.  Tr. Vol. </w:t>
      </w:r>
      <w:r w:rsidR="00006760">
        <w:t>2</w:t>
      </w:r>
      <w:r w:rsidR="00BB1141">
        <w:t>, 375:5-17 (Morris).</w:t>
      </w:r>
      <w:r w:rsidR="00006760">
        <w:t xml:space="preserve">  Finally, Mr. Morris testified that across New Mexico, oil and gas emission reductions will reduce design values by 1.5 ppb at Navajo Lake and as much as 3 ppb in the San Juan Basin.  Tr. Vol. 2, 376:13-20 (Morris).</w:t>
      </w:r>
    </w:p>
    <w:p w14:paraId="73CADE05" w14:textId="6A61B58A" w:rsidR="00BB1141" w:rsidRDefault="00BC651E" w:rsidP="00A84A86">
      <w:pPr>
        <w:pStyle w:val="ListParagraph"/>
        <w:numPr>
          <w:ilvl w:val="0"/>
          <w:numId w:val="2"/>
        </w:numPr>
        <w:spacing w:after="0" w:line="480" w:lineRule="auto"/>
        <w:ind w:left="0" w:firstLine="720"/>
        <w:jc w:val="both"/>
      </w:pPr>
      <w:r>
        <w:t xml:space="preserve">IPANM’s </w:t>
      </w:r>
      <w:r w:rsidR="006E2D0A">
        <w:t>w</w:t>
      </w:r>
      <w:r>
        <w:t>itness, Mr. Doug Blewitt, testified that it is important to use modeling to identify which sources contribute to monitor</w:t>
      </w:r>
      <w:r w:rsidR="00416D07">
        <w:t>ed concentrations</w:t>
      </w:r>
      <w:r>
        <w:t>.  Tr. Vol. 1, 272:11-14 (Blewitt).</w:t>
      </w:r>
    </w:p>
    <w:p w14:paraId="5F5C75F6" w14:textId="5065B645" w:rsidR="00924AAD" w:rsidRDefault="00211628" w:rsidP="00A84A86">
      <w:pPr>
        <w:pStyle w:val="ListParagraph"/>
        <w:numPr>
          <w:ilvl w:val="0"/>
          <w:numId w:val="2"/>
        </w:numPr>
        <w:spacing w:after="0" w:line="480" w:lineRule="auto"/>
        <w:ind w:left="0" w:firstLine="720"/>
        <w:jc w:val="both"/>
      </w:pPr>
      <w:r>
        <w:t xml:space="preserve">Given the relatively minor impact that Oil and Gas sources </w:t>
      </w:r>
      <w:r w:rsidR="00416D07">
        <w:t>have</w:t>
      </w:r>
      <w:r>
        <w:t xml:space="preserve"> on New Mexico </w:t>
      </w:r>
      <w:r w:rsidR="00416D07">
        <w:t>o</w:t>
      </w:r>
      <w:r>
        <w:t xml:space="preserve">zone design values, the </w:t>
      </w:r>
      <w:r w:rsidR="003C0441">
        <w:t>Board</w:t>
      </w:r>
      <w:r>
        <w:t xml:space="preserve"> acknowledges that control </w:t>
      </w:r>
      <w:r w:rsidR="00416D07">
        <w:t>from</w:t>
      </w:r>
      <w:r>
        <w:t xml:space="preserve"> the proposed </w:t>
      </w:r>
      <w:r w:rsidR="0057555C">
        <w:t>Ozone Rule</w:t>
      </w:r>
      <w:r>
        <w:t xml:space="preserve"> would </w:t>
      </w:r>
      <w:r w:rsidR="00D70C84">
        <w:t>not</w:t>
      </w:r>
      <w:r w:rsidR="00416D07">
        <w:t xml:space="preserve"> </w:t>
      </w:r>
      <w:r w:rsidR="00C63B2D">
        <w:t>substantially</w:t>
      </w:r>
      <w:r w:rsidR="00416D07">
        <w:t xml:space="preserve"> </w:t>
      </w:r>
      <w:r w:rsidR="00D70C84">
        <w:t>reduce ambient</w:t>
      </w:r>
      <w:r w:rsidR="00416D07">
        <w:t xml:space="preserve"> ozone concentrations</w:t>
      </w:r>
      <w:r>
        <w:t>.</w:t>
      </w:r>
    </w:p>
    <w:p w14:paraId="417147AC" w14:textId="256640D4" w:rsidR="00A930FF" w:rsidRPr="00A61B8B" w:rsidRDefault="00A930FF" w:rsidP="00A61B8B">
      <w:pPr>
        <w:pStyle w:val="Heading3"/>
      </w:pPr>
      <w:bookmarkStart w:id="8" w:name="_Toc93581886"/>
      <w:r w:rsidRPr="00A61B8B">
        <w:t>Combining NOx and VOC in Modeling Makes it Impossible to Compare Relative Ozone Benefits</w:t>
      </w:r>
      <w:bookmarkEnd w:id="8"/>
    </w:p>
    <w:p w14:paraId="5201AD68" w14:textId="77777777" w:rsidR="00A930FF" w:rsidRDefault="00A930FF" w:rsidP="00A930FF">
      <w:pPr>
        <w:pStyle w:val="ListParagraph"/>
        <w:spacing w:after="0" w:line="240" w:lineRule="auto"/>
        <w:jc w:val="both"/>
        <w:rPr>
          <w:b/>
          <w:bCs/>
        </w:rPr>
      </w:pPr>
    </w:p>
    <w:p w14:paraId="50FBCF86" w14:textId="690E4F94" w:rsidR="002A4F93" w:rsidRPr="002A4F93" w:rsidRDefault="00A930FF" w:rsidP="00A930FF">
      <w:pPr>
        <w:pStyle w:val="ListParagraph"/>
        <w:numPr>
          <w:ilvl w:val="0"/>
          <w:numId w:val="2"/>
        </w:numPr>
        <w:spacing w:after="0" w:line="480" w:lineRule="auto"/>
        <w:ind w:left="0" w:firstLine="720"/>
        <w:jc w:val="both"/>
        <w:rPr>
          <w:b/>
          <w:bCs/>
        </w:rPr>
      </w:pPr>
      <w:r>
        <w:t xml:space="preserve">From the way the modeling was conducted for </w:t>
      </w:r>
      <w:r w:rsidR="00D70C84">
        <w:t>the</w:t>
      </w:r>
      <w:r>
        <w:t xml:space="preserve"> </w:t>
      </w:r>
      <w:r w:rsidR="0057555C">
        <w:t>Ozone Rule</w:t>
      </w:r>
      <w:r w:rsidR="00D70C84">
        <w:t>,</w:t>
      </w:r>
      <w:r>
        <w:t xml:space="preserve"> it</w:t>
      </w:r>
      <w:r w:rsidR="00F63824">
        <w:t xml:space="preserve"> is</w:t>
      </w:r>
      <w:r>
        <w:t xml:space="preserve"> impossible to identify ozone benefits from NOx controls compared to </w:t>
      </w:r>
      <w:r w:rsidR="00C63B2D">
        <w:t xml:space="preserve">benefits from </w:t>
      </w:r>
      <w:r>
        <w:t xml:space="preserve">VOC controls.  </w:t>
      </w:r>
      <w:r>
        <w:rPr>
          <w:b/>
          <w:bCs/>
        </w:rPr>
        <w:t>IPANM Ex. 6</w:t>
      </w:r>
      <w:r>
        <w:t xml:space="preserve"> at 5 (Blewitt Direct)</w:t>
      </w:r>
      <w:r w:rsidR="00B2500F">
        <w:t xml:space="preserve">; </w:t>
      </w:r>
      <w:r w:rsidR="00B2500F">
        <w:rPr>
          <w:b/>
          <w:bCs/>
        </w:rPr>
        <w:t>IPANM Ex. 12</w:t>
      </w:r>
      <w:r w:rsidR="00B2500F">
        <w:t xml:space="preserve"> at 14-15 (Blewitt Rebuttal)</w:t>
      </w:r>
      <w:r>
        <w:t>.  The modeling results for VOC and NOx were combined</w:t>
      </w:r>
      <w:r w:rsidR="006E2D0A">
        <w:t>;</w:t>
      </w:r>
      <w:r>
        <w:t xml:space="preserve"> therefore</w:t>
      </w:r>
      <w:r w:rsidR="006E2D0A">
        <w:t>,</w:t>
      </w:r>
      <w:r>
        <w:t xml:space="preserve"> </w:t>
      </w:r>
      <w:r w:rsidR="00F63824">
        <w:t>there is no way</w:t>
      </w:r>
      <w:r>
        <w:t xml:space="preserve"> to tell which precursor pollutant </w:t>
      </w:r>
      <w:r w:rsidR="00416D07">
        <w:t xml:space="preserve">(NOx or VOCs) </w:t>
      </w:r>
      <w:r>
        <w:t xml:space="preserve">was the majority cause.  </w:t>
      </w:r>
      <w:r w:rsidRPr="00EC5457">
        <w:rPr>
          <w:b/>
          <w:bCs/>
          <w:i/>
          <w:iCs/>
        </w:rPr>
        <w:t>Id.</w:t>
      </w:r>
      <w:r w:rsidR="00EB26F2">
        <w:t xml:space="preserve">; </w:t>
      </w:r>
      <w:r w:rsidR="00EB26F2">
        <w:rPr>
          <w:b/>
          <w:bCs/>
        </w:rPr>
        <w:t>NMOGA Appendix A4</w:t>
      </w:r>
      <w:r w:rsidR="00EB26F2">
        <w:t xml:space="preserve"> at 13 (McNally Direct). </w:t>
      </w:r>
    </w:p>
    <w:p w14:paraId="00582521" w14:textId="77777777" w:rsidR="003B1BAC" w:rsidRPr="00795A43" w:rsidRDefault="003B1BAC" w:rsidP="003B1BAC">
      <w:pPr>
        <w:pStyle w:val="ListParagraph"/>
        <w:numPr>
          <w:ilvl w:val="0"/>
          <w:numId w:val="2"/>
        </w:numPr>
        <w:spacing w:after="0" w:line="480" w:lineRule="auto"/>
        <w:ind w:left="0" w:firstLine="720"/>
        <w:jc w:val="both"/>
        <w:rPr>
          <w:b/>
          <w:bCs/>
        </w:rPr>
      </w:pPr>
      <w:r>
        <w:lastRenderedPageBreak/>
        <w:t xml:space="preserve">The CAMx model is the Comprehensive Air Quality Model with Extensions.  </w:t>
      </w:r>
      <w:r>
        <w:rPr>
          <w:b/>
          <w:bCs/>
        </w:rPr>
        <w:t>NMOGA Appendix A4</w:t>
      </w:r>
      <w:r>
        <w:t xml:space="preserve"> at 4 (McNally Direct).  It is a publicly available photochemical model developed by Ramboll US Consulting, Inc. and used widely for air quality planning across the United States.  </w:t>
      </w:r>
      <w:r>
        <w:rPr>
          <w:b/>
          <w:bCs/>
          <w:i/>
          <w:iCs/>
        </w:rPr>
        <w:t>Id.</w:t>
      </w:r>
      <w:r>
        <w:rPr>
          <w:b/>
          <w:bCs/>
        </w:rPr>
        <w:t xml:space="preserve">  </w:t>
      </w:r>
    </w:p>
    <w:p w14:paraId="509515DD" w14:textId="77777777" w:rsidR="003B1BAC" w:rsidRPr="00DC5F8D" w:rsidRDefault="003B1BAC" w:rsidP="003B1BAC">
      <w:pPr>
        <w:pStyle w:val="ListParagraph"/>
        <w:numPr>
          <w:ilvl w:val="0"/>
          <w:numId w:val="2"/>
        </w:numPr>
        <w:spacing w:after="0" w:line="480" w:lineRule="auto"/>
        <w:ind w:left="0" w:firstLine="720"/>
        <w:jc w:val="both"/>
        <w:rPr>
          <w:b/>
          <w:bCs/>
        </w:rPr>
      </w:pPr>
      <w:r>
        <w:t xml:space="preserve">A photochemical model means the model includes chemical transformations that are influenced by light.  </w:t>
      </w:r>
      <w:r>
        <w:rPr>
          <w:b/>
          <w:bCs/>
        </w:rPr>
        <w:t>NMOGA Appendix A4</w:t>
      </w:r>
      <w:r>
        <w:t xml:space="preserve"> at 4 (McNally Direct). </w:t>
      </w:r>
    </w:p>
    <w:p w14:paraId="60F1DFF5" w14:textId="5EACEECC" w:rsidR="00EF1141" w:rsidRPr="00795A43" w:rsidRDefault="002A4F93" w:rsidP="00A930FF">
      <w:pPr>
        <w:pStyle w:val="ListParagraph"/>
        <w:numPr>
          <w:ilvl w:val="0"/>
          <w:numId w:val="2"/>
        </w:numPr>
        <w:spacing w:after="0" w:line="480" w:lineRule="auto"/>
        <w:ind w:left="0" w:firstLine="720"/>
        <w:jc w:val="both"/>
        <w:rPr>
          <w:b/>
          <w:bCs/>
        </w:rPr>
      </w:pPr>
      <w:r>
        <w:t xml:space="preserve">If the CAMx source apportionment is used, it is possible to calculate how much ozone is attributable to oil and gas NOx and VOC emissions.  </w:t>
      </w:r>
      <w:r>
        <w:rPr>
          <w:b/>
          <w:bCs/>
        </w:rPr>
        <w:t>NMOGA Appendix A4</w:t>
      </w:r>
      <w:r>
        <w:t xml:space="preserve"> at 13-14 (McNally Direct).  This yields a result that shows at all monitors, ozone attributable to </w:t>
      </w:r>
      <w:r w:rsidR="00EF1141">
        <w:t xml:space="preserve">New Mexico </w:t>
      </w:r>
      <w:r w:rsidR="00416D07">
        <w:t>o</w:t>
      </w:r>
      <w:r w:rsidR="00EF1141">
        <w:t xml:space="preserve">il and </w:t>
      </w:r>
      <w:r w:rsidR="00416D07">
        <w:t>g</w:t>
      </w:r>
      <w:r w:rsidR="00EF1141">
        <w:t xml:space="preserve">as </w:t>
      </w:r>
      <w:r w:rsidR="00416D07">
        <w:t xml:space="preserve">operations </w:t>
      </w:r>
      <w:r w:rsidR="00EF1141">
        <w:t xml:space="preserve">is much more NOx limited than VOC limited.  </w:t>
      </w:r>
      <w:r w:rsidR="00EF1141" w:rsidRPr="00EC5457">
        <w:rPr>
          <w:b/>
          <w:bCs/>
          <w:i/>
          <w:iCs/>
        </w:rPr>
        <w:t>Id.</w:t>
      </w:r>
      <w:r w:rsidR="00EF1141">
        <w:t xml:space="preserve"> </w:t>
      </w:r>
      <w:r w:rsidR="00416D07">
        <w:t xml:space="preserve">That </w:t>
      </w:r>
      <w:proofErr w:type="gramStart"/>
      <w:r w:rsidR="00416D07">
        <w:t>is,</w:t>
      </w:r>
      <w:proofErr w:type="gramEnd"/>
      <w:r w:rsidR="00416D07">
        <w:t xml:space="preserve"> the ozone concentrations are much more affected by NOx emission that VOC emissions.</w:t>
      </w:r>
    </w:p>
    <w:p w14:paraId="4A38F951" w14:textId="09199D9E" w:rsidR="00DC5F8D" w:rsidRPr="00F63824" w:rsidRDefault="00DC5F8D" w:rsidP="00A930FF">
      <w:pPr>
        <w:pStyle w:val="ListParagraph"/>
        <w:numPr>
          <w:ilvl w:val="0"/>
          <w:numId w:val="2"/>
        </w:numPr>
        <w:spacing w:after="0" w:line="480" w:lineRule="auto"/>
        <w:ind w:left="0" w:firstLine="720"/>
        <w:jc w:val="both"/>
        <w:rPr>
          <w:b/>
          <w:bCs/>
        </w:rPr>
      </w:pPr>
      <w:r>
        <w:t xml:space="preserve">NMED disagrees that the CAMx source apportionment can be used to separate contributions of </w:t>
      </w:r>
      <w:r w:rsidR="00416D07">
        <w:t>o</w:t>
      </w:r>
      <w:r>
        <w:t xml:space="preserve">il and </w:t>
      </w:r>
      <w:r w:rsidR="00416D07">
        <w:t>g</w:t>
      </w:r>
      <w:r>
        <w:t>as emissions into VO</w:t>
      </w:r>
      <w:r w:rsidR="00416D07">
        <w:t>C</w:t>
      </w:r>
      <w:r>
        <w:t xml:space="preserve"> and NOx.  </w:t>
      </w:r>
      <w:r>
        <w:rPr>
          <w:b/>
          <w:bCs/>
        </w:rPr>
        <w:t>NMED Rebuttal Ex. 11</w:t>
      </w:r>
      <w:r>
        <w:t xml:space="preserve"> at 6-8 (Morris Rebuttal).  Particularly because the CAMx Anthropogenic Precursor Culpability Assessment (“APCCA”) version of CAMx used in NMED’s modeling, “overrides some of the NOx and VOC sensitive conditions in allocating ozone formed to the same source group VOC </w:t>
      </w:r>
      <w:r w:rsidR="001E2224">
        <w:t>sensitive</w:t>
      </w:r>
      <w:r>
        <w:t xml:space="preserve"> and NOx sensitive ozone tra</w:t>
      </w:r>
      <w:r w:rsidR="001E2224">
        <w:t xml:space="preserve">cers” thus making the analysis unreliable.  </w:t>
      </w:r>
      <w:r w:rsidR="001E2224" w:rsidRPr="00EC5457">
        <w:rPr>
          <w:b/>
          <w:bCs/>
          <w:i/>
          <w:iCs/>
        </w:rPr>
        <w:t>Id.</w:t>
      </w:r>
      <w:r w:rsidR="001E2224">
        <w:t xml:space="preserve"> at 7.  However, NMED ultimately </w:t>
      </w:r>
      <w:r w:rsidR="007A32A3">
        <w:t>agreed</w:t>
      </w:r>
      <w:r w:rsidR="001E2224">
        <w:t xml:space="preserve"> that modeling indicates that New Mexico ozone formation is more NOx sensitive than VOC sensitive.  </w:t>
      </w:r>
      <w:r w:rsidR="001E2224" w:rsidRPr="00EC5457">
        <w:rPr>
          <w:b/>
          <w:bCs/>
          <w:i/>
          <w:iCs/>
        </w:rPr>
        <w:t>Id.</w:t>
      </w:r>
      <w:r w:rsidR="001E2224">
        <w:t xml:space="preserve"> </w:t>
      </w:r>
    </w:p>
    <w:p w14:paraId="66A4BDDD" w14:textId="11B57D4E" w:rsidR="00F63824" w:rsidRPr="00EF1141" w:rsidRDefault="00F63824" w:rsidP="00A930FF">
      <w:pPr>
        <w:pStyle w:val="ListParagraph"/>
        <w:numPr>
          <w:ilvl w:val="0"/>
          <w:numId w:val="2"/>
        </w:numPr>
        <w:spacing w:after="0" w:line="480" w:lineRule="auto"/>
        <w:ind w:left="0" w:firstLine="720"/>
        <w:jc w:val="both"/>
        <w:rPr>
          <w:b/>
          <w:bCs/>
        </w:rPr>
      </w:pPr>
      <w:r>
        <w:t xml:space="preserve">It is important that NOx and VOC impacts of ozone are separated out when considering ozone formation.  </w:t>
      </w:r>
      <w:r>
        <w:rPr>
          <w:b/>
          <w:bCs/>
        </w:rPr>
        <w:t>IPANM Ex. 6</w:t>
      </w:r>
      <w:r>
        <w:t xml:space="preserve"> at 6 (Blewitt Direct).  Ozone formation is non-linear</w:t>
      </w:r>
      <w:r w:rsidR="00E32EAA">
        <w:t>, and</w:t>
      </w:r>
      <w:r>
        <w:t xml:space="preserve"> therefore</w:t>
      </w:r>
      <w:r w:rsidR="00E32EAA">
        <w:t>,</w:t>
      </w:r>
      <w:r>
        <w:t xml:space="preserve"> NOx and VOC do not have the same impact on ozone formation.  </w:t>
      </w:r>
      <w:r w:rsidRPr="00EC5457">
        <w:rPr>
          <w:b/>
          <w:bCs/>
          <w:i/>
          <w:iCs/>
        </w:rPr>
        <w:t>Id.</w:t>
      </w:r>
      <w:r>
        <w:t xml:space="preserve"> at 7. </w:t>
      </w:r>
    </w:p>
    <w:p w14:paraId="2C82A457" w14:textId="38B5281B" w:rsidR="00FE38E6" w:rsidRPr="00DC5F8D" w:rsidRDefault="00EF1141" w:rsidP="00A930FF">
      <w:pPr>
        <w:pStyle w:val="ListParagraph"/>
        <w:numPr>
          <w:ilvl w:val="0"/>
          <w:numId w:val="2"/>
        </w:numPr>
        <w:spacing w:after="0" w:line="480" w:lineRule="auto"/>
        <w:ind w:left="0" w:firstLine="720"/>
        <w:jc w:val="both"/>
        <w:rPr>
          <w:b/>
          <w:bCs/>
        </w:rPr>
      </w:pPr>
      <w:r>
        <w:lastRenderedPageBreak/>
        <w:t xml:space="preserve">When comparing ozone reductions from both NOx and VOC controls, controls on either do not have the same effect.  </w:t>
      </w:r>
      <w:r>
        <w:rPr>
          <w:b/>
          <w:bCs/>
        </w:rPr>
        <w:t>IPANM Ex. 6</w:t>
      </w:r>
      <w:r>
        <w:t xml:space="preserve"> at 13 (Blewitt Direct).  </w:t>
      </w:r>
      <w:r w:rsidR="00FE38E6">
        <w:t>Reductions</w:t>
      </w:r>
      <w:r>
        <w:t xml:space="preserve"> in NOx emissions are more effective </w:t>
      </w:r>
      <w:r w:rsidR="00FE38E6">
        <w:t xml:space="preserve">than VOC emissions because most areas are NOx limited.  </w:t>
      </w:r>
      <w:r w:rsidR="00FE38E6" w:rsidRPr="00EC5457">
        <w:rPr>
          <w:b/>
          <w:bCs/>
          <w:i/>
          <w:iCs/>
        </w:rPr>
        <w:t>Id.</w:t>
      </w:r>
      <w:r w:rsidR="00437597">
        <w:t xml:space="preserve">; </w:t>
      </w:r>
      <w:r w:rsidR="00437597">
        <w:rPr>
          <w:b/>
          <w:bCs/>
        </w:rPr>
        <w:t>IPANM Ex. 2</w:t>
      </w:r>
      <w:r w:rsidR="00437597">
        <w:t xml:space="preserve"> at 4 (Davis Direct).</w:t>
      </w:r>
    </w:p>
    <w:p w14:paraId="33284A73" w14:textId="7341D195" w:rsidR="00DC5F8D" w:rsidRPr="00BB1141" w:rsidRDefault="00DC5F8D" w:rsidP="00A930FF">
      <w:pPr>
        <w:pStyle w:val="ListParagraph"/>
        <w:numPr>
          <w:ilvl w:val="0"/>
          <w:numId w:val="2"/>
        </w:numPr>
        <w:spacing w:after="0" w:line="480" w:lineRule="auto"/>
        <w:ind w:left="0" w:firstLine="720"/>
        <w:jc w:val="both"/>
        <w:rPr>
          <w:b/>
          <w:bCs/>
        </w:rPr>
      </w:pPr>
      <w:r>
        <w:t xml:space="preserve">NMED </w:t>
      </w:r>
      <w:r w:rsidR="00795A43">
        <w:t>disagreed</w:t>
      </w:r>
      <w:r>
        <w:t xml:space="preserve"> </w:t>
      </w:r>
      <w:r w:rsidR="00992955">
        <w:t xml:space="preserve">on the importance of separating out NOx and VOC emissions when evaluating ozone formation, stating that even if one precursor is more sensitive than the other, a reduction in all precursors still reduces ozone.  </w:t>
      </w:r>
      <w:r w:rsidR="00992955">
        <w:rPr>
          <w:b/>
          <w:bCs/>
        </w:rPr>
        <w:t>NMED Rebuttal Ex. 11</w:t>
      </w:r>
      <w:r w:rsidR="00992955">
        <w:t xml:space="preserve"> at 8 (Morris Rebuttal). </w:t>
      </w:r>
    </w:p>
    <w:p w14:paraId="08261D61" w14:textId="31DF1F7A" w:rsidR="00D905C8" w:rsidRPr="00D905C8" w:rsidRDefault="00BB1141" w:rsidP="00A930FF">
      <w:pPr>
        <w:pStyle w:val="ListParagraph"/>
        <w:numPr>
          <w:ilvl w:val="0"/>
          <w:numId w:val="2"/>
        </w:numPr>
        <w:spacing w:after="0" w:line="480" w:lineRule="auto"/>
        <w:ind w:left="0" w:firstLine="720"/>
        <w:jc w:val="both"/>
        <w:rPr>
          <w:b/>
          <w:bCs/>
        </w:rPr>
      </w:pPr>
      <w:r>
        <w:t>At the hearing, NMED reiterated its disagreement that VOC and NOx values should have been separated.  Tr. Vol. 2, 379:17-22 (Morris).</w:t>
      </w:r>
      <w:r w:rsidR="00146CD2">
        <w:t xml:space="preserve">  NMED </w:t>
      </w:r>
      <w:r w:rsidR="00765389">
        <w:t>admitted</w:t>
      </w:r>
      <w:r w:rsidR="00146CD2">
        <w:t xml:space="preserve"> that this could have been done, but they did not do it because it is standard practice to keep the two combined.</w:t>
      </w:r>
      <w:r w:rsidR="0089720C">
        <w:t xml:space="preserve">  Tr. Vol. 2, 379:19-22 (Morris)</w:t>
      </w:r>
      <w:r w:rsidR="00D905C8">
        <w:t>; Tr. Vol. 2:501:25-502:13 (Morris).</w:t>
      </w:r>
    </w:p>
    <w:p w14:paraId="199C7E4D" w14:textId="6FD6B85F" w:rsidR="00BB1141" w:rsidRPr="005E26DA" w:rsidRDefault="00AC5BF1" w:rsidP="00A930FF">
      <w:pPr>
        <w:pStyle w:val="ListParagraph"/>
        <w:numPr>
          <w:ilvl w:val="0"/>
          <w:numId w:val="2"/>
        </w:numPr>
        <w:spacing w:after="0" w:line="480" w:lineRule="auto"/>
        <w:ind w:left="0" w:firstLine="720"/>
        <w:jc w:val="both"/>
        <w:rPr>
          <w:b/>
          <w:bCs/>
        </w:rPr>
      </w:pPr>
      <w:r>
        <w:t xml:space="preserve">NMED also acknowledged that </w:t>
      </w:r>
      <w:r w:rsidR="000B742E">
        <w:t xml:space="preserve">ozone concentrations in </w:t>
      </w:r>
      <w:r>
        <w:t>most of the areas in New Mexico are NOx sensitive</w:t>
      </w:r>
      <w:r w:rsidR="007A32A3">
        <w:t>,</w:t>
      </w:r>
      <w:r>
        <w:t xml:space="preserve"> </w:t>
      </w:r>
      <w:r w:rsidR="007A32A3">
        <w:t>except for</w:t>
      </w:r>
      <w:r>
        <w:t xml:space="preserve"> the San Juan Basin which has a little bit more VOC sensitivity.  Tr. Vol. 2, 380:2-6 (Morris).</w:t>
      </w:r>
    </w:p>
    <w:p w14:paraId="37E4AD61" w14:textId="5C81E360" w:rsidR="005E26DA" w:rsidRPr="00A121D7" w:rsidRDefault="005E26DA" w:rsidP="00A930FF">
      <w:pPr>
        <w:pStyle w:val="ListParagraph"/>
        <w:numPr>
          <w:ilvl w:val="0"/>
          <w:numId w:val="2"/>
        </w:numPr>
        <w:spacing w:after="0" w:line="480" w:lineRule="auto"/>
        <w:ind w:left="0" w:firstLine="720"/>
        <w:jc w:val="both"/>
        <w:rPr>
          <w:b/>
          <w:bCs/>
        </w:rPr>
      </w:pPr>
      <w:r>
        <w:t xml:space="preserve">NMED testified that it did not run separate models that </w:t>
      </w:r>
      <w:r w:rsidR="00E32EAA">
        <w:t xml:space="preserve">examined </w:t>
      </w:r>
      <w:r>
        <w:t>NOx only or VOC only controls</w:t>
      </w:r>
      <w:r w:rsidR="00E32EAA">
        <w:t>;</w:t>
      </w:r>
      <w:r>
        <w:t xml:space="preserve"> rather</w:t>
      </w:r>
      <w:r w:rsidR="00E32EAA">
        <w:t>,</w:t>
      </w:r>
      <w:r>
        <w:t xml:space="preserve"> the models that were run only included both.  Tr. Vol. 2, 393:10-19 (Morris).  However, NMED does acknowledge that on a ton-for-ton basis</w:t>
      </w:r>
      <w:r w:rsidR="00E32EAA">
        <w:t>,</w:t>
      </w:r>
      <w:r>
        <w:t xml:space="preserve"> NOx controls are going to be more effective than VOC controls because most of the areas in New Mexico are more NOx sensitive.  Tr. Vol. 2, 397:12-20 (Morris).</w:t>
      </w:r>
    </w:p>
    <w:p w14:paraId="2FB17C79" w14:textId="1B5162AB" w:rsidR="00A121D7" w:rsidRPr="00FE38E6" w:rsidRDefault="00A121D7" w:rsidP="00A930FF">
      <w:pPr>
        <w:pStyle w:val="ListParagraph"/>
        <w:numPr>
          <w:ilvl w:val="0"/>
          <w:numId w:val="2"/>
        </w:numPr>
        <w:spacing w:after="0" w:line="480" w:lineRule="auto"/>
        <w:ind w:left="0" w:firstLine="720"/>
        <w:jc w:val="both"/>
        <w:rPr>
          <w:b/>
          <w:bCs/>
        </w:rPr>
      </w:pPr>
      <w:r>
        <w:t xml:space="preserve">NMGOA testified that there is no requirement that a rule </w:t>
      </w:r>
      <w:proofErr w:type="gramStart"/>
      <w:r>
        <w:t>has to</w:t>
      </w:r>
      <w:proofErr w:type="gramEnd"/>
      <w:r>
        <w:t xml:space="preserve"> control both precursors.  Tr. Vol. 2, 493:4-7 (McNally).  Specifically, certain controls are going to be more effective at controlling certain sources.  </w:t>
      </w:r>
      <w:r w:rsidRPr="00EC5457">
        <w:rPr>
          <w:b/>
          <w:bCs/>
          <w:i/>
          <w:iCs/>
        </w:rPr>
        <w:t>Id.</w:t>
      </w:r>
      <w:r>
        <w:t xml:space="preserve"> </w:t>
      </w:r>
    </w:p>
    <w:p w14:paraId="20CCA7B6" w14:textId="6B9B5360" w:rsidR="00A930FF" w:rsidRPr="00A930FF" w:rsidRDefault="00FE38E6" w:rsidP="00A930FF">
      <w:pPr>
        <w:pStyle w:val="ListParagraph"/>
        <w:numPr>
          <w:ilvl w:val="0"/>
          <w:numId w:val="2"/>
        </w:numPr>
        <w:spacing w:after="0" w:line="480" w:lineRule="auto"/>
        <w:ind w:left="0" w:firstLine="720"/>
        <w:jc w:val="both"/>
        <w:rPr>
          <w:b/>
          <w:bCs/>
        </w:rPr>
      </w:pPr>
      <w:r>
        <w:lastRenderedPageBreak/>
        <w:t xml:space="preserve">Due to the combined nature of NOx and VOC in the ozone analysis modeling, the </w:t>
      </w:r>
      <w:r w:rsidR="00571876">
        <w:t>Board</w:t>
      </w:r>
      <w:r>
        <w:t xml:space="preserve"> finds it cannot determine the effectiveness of NOx versus VOC controls</w:t>
      </w:r>
      <w:r w:rsidR="007A10B3">
        <w:t xml:space="preserve"> on the </w:t>
      </w:r>
      <w:r w:rsidR="000B742E">
        <w:t>o</w:t>
      </w:r>
      <w:r w:rsidR="007A10B3">
        <w:t xml:space="preserve">il and </w:t>
      </w:r>
      <w:r w:rsidR="000B742E">
        <w:t>g</w:t>
      </w:r>
      <w:r w:rsidR="007A10B3">
        <w:t>as sector</w:t>
      </w:r>
      <w:r>
        <w:t xml:space="preserve">.   </w:t>
      </w:r>
      <w:r w:rsidR="00A930FF">
        <w:t xml:space="preserve">  </w:t>
      </w:r>
    </w:p>
    <w:p w14:paraId="1D3765A8" w14:textId="5B200493" w:rsidR="001A00E8" w:rsidRDefault="00452F05" w:rsidP="00A61B8B">
      <w:pPr>
        <w:pStyle w:val="Heading3"/>
      </w:pPr>
      <w:bookmarkStart w:id="9" w:name="_Toc93581887"/>
      <w:r>
        <w:t>Emission Inventory Uncertainties</w:t>
      </w:r>
      <w:bookmarkEnd w:id="9"/>
    </w:p>
    <w:p w14:paraId="765C656C" w14:textId="77777777" w:rsidR="00A61B8B" w:rsidRPr="00A61B8B" w:rsidRDefault="00A61B8B" w:rsidP="00A61B8B">
      <w:pPr>
        <w:spacing w:after="0"/>
      </w:pPr>
    </w:p>
    <w:p w14:paraId="4652C69B" w14:textId="330BD9F4" w:rsidR="006A7695" w:rsidRPr="006A7695" w:rsidRDefault="006A7695" w:rsidP="00F93CA5">
      <w:pPr>
        <w:pStyle w:val="ListParagraph"/>
        <w:numPr>
          <w:ilvl w:val="0"/>
          <w:numId w:val="2"/>
        </w:numPr>
        <w:spacing w:after="0" w:line="480" w:lineRule="auto"/>
        <w:ind w:left="0" w:firstLine="720"/>
        <w:jc w:val="both"/>
      </w:pPr>
      <w:r>
        <w:rPr>
          <w:color w:val="000000" w:themeColor="text1"/>
        </w:rPr>
        <w:t xml:space="preserve">The NMED Technical Support Document (“TSD”) does not contain data regarding the derivation of the base case emission inventory.  </w:t>
      </w:r>
      <w:r>
        <w:rPr>
          <w:b/>
          <w:bCs/>
          <w:color w:val="000000" w:themeColor="text1"/>
        </w:rPr>
        <w:t>IPANM Ex. 6</w:t>
      </w:r>
      <w:r>
        <w:rPr>
          <w:color w:val="000000" w:themeColor="text1"/>
        </w:rPr>
        <w:t xml:space="preserve"> at 9 (Blewitt Direct).  Specifically, the 2028 future year base case “provides no documentation for emission calculations, emission growth (by source category), as well as assumptions regarding emission reductions that will be implemented as a result of new control requirements</w:t>
      </w:r>
      <w:r w:rsidR="00EE6E98">
        <w:rPr>
          <w:color w:val="000000" w:themeColor="text1"/>
        </w:rPr>
        <w:t>.</w:t>
      </w:r>
      <w:r>
        <w:rPr>
          <w:color w:val="000000" w:themeColor="text1"/>
        </w:rPr>
        <w:t xml:space="preserve">”  </w:t>
      </w:r>
      <w:r>
        <w:rPr>
          <w:b/>
          <w:bCs/>
          <w:i/>
          <w:iCs/>
          <w:color w:val="000000" w:themeColor="text1"/>
        </w:rPr>
        <w:t>Id.</w:t>
      </w:r>
      <w:r>
        <w:rPr>
          <w:b/>
          <w:bCs/>
          <w:color w:val="000000" w:themeColor="text1"/>
        </w:rPr>
        <w:t xml:space="preserve"> </w:t>
      </w:r>
      <w:r>
        <w:rPr>
          <w:color w:val="000000" w:themeColor="text1"/>
        </w:rPr>
        <w:t xml:space="preserve">at 9-10. </w:t>
      </w:r>
    </w:p>
    <w:p w14:paraId="77ACAC09" w14:textId="7A0DEE79" w:rsidR="006A7695" w:rsidRPr="00206EF8" w:rsidRDefault="006A7695" w:rsidP="00F93CA5">
      <w:pPr>
        <w:pStyle w:val="ListParagraph"/>
        <w:numPr>
          <w:ilvl w:val="0"/>
          <w:numId w:val="2"/>
        </w:numPr>
        <w:spacing w:after="0" w:line="480" w:lineRule="auto"/>
        <w:ind w:left="0" w:firstLine="720"/>
        <w:jc w:val="both"/>
      </w:pPr>
      <w:r>
        <w:rPr>
          <w:color w:val="000000" w:themeColor="text1"/>
        </w:rPr>
        <w:t xml:space="preserve">IPANM asserted that the TSD provided limited documentation on electric generating unit (“EGU”) sources included in the inventory, as well as the 2028 emission reductions.  </w:t>
      </w:r>
      <w:r>
        <w:rPr>
          <w:b/>
          <w:bCs/>
          <w:color w:val="000000" w:themeColor="text1"/>
        </w:rPr>
        <w:t>IPANM Ex. 6</w:t>
      </w:r>
      <w:r>
        <w:rPr>
          <w:color w:val="000000" w:themeColor="text1"/>
        </w:rPr>
        <w:t xml:space="preserve"> at 10 (Blewitt Direct).  EGU’s are large power-plant emission sources and large EGU sources exist outside the borders of New Mexico that have impacts on New Mexico ozone levels.  </w:t>
      </w:r>
      <w:r>
        <w:rPr>
          <w:b/>
          <w:bCs/>
          <w:i/>
          <w:iCs/>
          <w:color w:val="000000" w:themeColor="text1"/>
        </w:rPr>
        <w:t>Id.</w:t>
      </w:r>
      <w:r>
        <w:rPr>
          <w:b/>
          <w:bCs/>
          <w:color w:val="000000" w:themeColor="text1"/>
        </w:rPr>
        <w:t xml:space="preserve">  </w:t>
      </w:r>
    </w:p>
    <w:p w14:paraId="038293AB" w14:textId="4DF8C36D" w:rsidR="00206EF8" w:rsidRPr="001913FE" w:rsidRDefault="00206EF8" w:rsidP="00F93CA5">
      <w:pPr>
        <w:pStyle w:val="ListParagraph"/>
        <w:numPr>
          <w:ilvl w:val="0"/>
          <w:numId w:val="2"/>
        </w:numPr>
        <w:spacing w:after="0" w:line="480" w:lineRule="auto"/>
        <w:ind w:left="0" w:firstLine="720"/>
        <w:jc w:val="both"/>
      </w:pPr>
      <w:r>
        <w:rPr>
          <w:color w:val="000000" w:themeColor="text1"/>
        </w:rPr>
        <w:t>Further, IPANM assert</w:t>
      </w:r>
      <w:r w:rsidR="00AE36BD">
        <w:rPr>
          <w:color w:val="000000" w:themeColor="text1"/>
        </w:rPr>
        <w:t>ed that there was</w:t>
      </w:r>
      <w:r>
        <w:rPr>
          <w:color w:val="000000" w:themeColor="text1"/>
        </w:rPr>
        <w:t xml:space="preserve"> a lack of documentation on the underlying assumptions used to formulate the 2014 base and 2028 growth cases and the 2028 oil and gas control cases.</w:t>
      </w:r>
      <w:r>
        <w:t xml:space="preserve">  </w:t>
      </w:r>
      <w:r>
        <w:rPr>
          <w:b/>
          <w:bCs/>
        </w:rPr>
        <w:t>IPANM Ex. 6</w:t>
      </w:r>
      <w:r>
        <w:t xml:space="preserve"> at 11 (Blewitt Direct).  Specifically, there was a 34% increase in emissions in NOx and a 42% </w:t>
      </w:r>
      <w:r w:rsidR="000E23FE">
        <w:t xml:space="preserve">decrease in VOCs between the 2014 base case and 2028 growth base case.  </w:t>
      </w:r>
      <w:r w:rsidR="000E23FE">
        <w:rPr>
          <w:b/>
          <w:bCs/>
          <w:i/>
          <w:iCs/>
        </w:rPr>
        <w:t>Id.</w:t>
      </w:r>
      <w:r w:rsidR="000E23FE">
        <w:rPr>
          <w:b/>
          <w:bCs/>
        </w:rPr>
        <w:t xml:space="preserve"> </w:t>
      </w:r>
      <w:r w:rsidR="000E23FE">
        <w:t xml:space="preserve">at 11.  It is unreasonable </w:t>
      </w:r>
      <w:r w:rsidR="001F7EBE">
        <w:t xml:space="preserve">to assume </w:t>
      </w:r>
      <w:r w:rsidR="000E23FE">
        <w:t xml:space="preserve">that there was substantial growth in NOx while VOC declined.  </w:t>
      </w:r>
      <w:r w:rsidR="000E23FE">
        <w:rPr>
          <w:b/>
          <w:bCs/>
          <w:i/>
          <w:iCs/>
        </w:rPr>
        <w:t>Id.</w:t>
      </w:r>
      <w:r w:rsidR="000E23FE">
        <w:rPr>
          <w:b/>
          <w:bCs/>
        </w:rPr>
        <w:t xml:space="preserve">  </w:t>
      </w:r>
      <w:r w:rsidR="000E23FE">
        <w:t xml:space="preserve">The underlying assumptions are inconsistent </w:t>
      </w:r>
      <w:r w:rsidR="00AE36BD">
        <w:t>between</w:t>
      </w:r>
      <w:r w:rsidR="000E23FE">
        <w:t xml:space="preserve"> the VOC and NOx inventories.  </w:t>
      </w:r>
      <w:r w:rsidR="000E23FE">
        <w:rPr>
          <w:b/>
          <w:bCs/>
          <w:i/>
          <w:iCs/>
        </w:rPr>
        <w:t>Id.</w:t>
      </w:r>
      <w:r w:rsidR="000E23FE">
        <w:rPr>
          <w:b/>
          <w:bCs/>
        </w:rPr>
        <w:t xml:space="preserve">  </w:t>
      </w:r>
    </w:p>
    <w:p w14:paraId="66366907" w14:textId="1F1FCBD0" w:rsidR="001913FE" w:rsidRDefault="00E15329" w:rsidP="00F93CA5">
      <w:pPr>
        <w:pStyle w:val="ListParagraph"/>
        <w:numPr>
          <w:ilvl w:val="0"/>
          <w:numId w:val="2"/>
        </w:numPr>
        <w:spacing w:after="0" w:line="480" w:lineRule="auto"/>
        <w:ind w:left="0" w:firstLine="720"/>
        <w:jc w:val="both"/>
      </w:pPr>
      <w:r>
        <w:rPr>
          <w:color w:val="000000" w:themeColor="text1"/>
        </w:rPr>
        <w:t xml:space="preserve">IPANM reiterated this concern in its rebuttal testimony stating </w:t>
      </w:r>
      <w:r w:rsidR="00AE36BD">
        <w:rPr>
          <w:color w:val="000000" w:themeColor="text1"/>
        </w:rPr>
        <w:t xml:space="preserve">that </w:t>
      </w:r>
      <w:r>
        <w:rPr>
          <w:color w:val="000000" w:themeColor="text1"/>
        </w:rPr>
        <w:t xml:space="preserve">“the emission inventories used to develop the 2014 base case and the 2028 future year base case were not </w:t>
      </w:r>
      <w:r>
        <w:rPr>
          <w:color w:val="000000" w:themeColor="text1"/>
        </w:rPr>
        <w:lastRenderedPageBreak/>
        <w:t xml:space="preserve">available for review and were not included in the TSD” </w:t>
      </w:r>
      <w:r w:rsidR="007B607C">
        <w:rPr>
          <w:color w:val="000000" w:themeColor="text1"/>
        </w:rPr>
        <w:t xml:space="preserve">and that </w:t>
      </w:r>
      <w:r>
        <w:rPr>
          <w:color w:val="000000" w:themeColor="text1"/>
        </w:rPr>
        <w:t>this omission precluded review of the emission calculations as well as the assumptions used in the development of the inventory.</w:t>
      </w:r>
      <w:r>
        <w:t xml:space="preserve">  </w:t>
      </w:r>
      <w:r>
        <w:rPr>
          <w:b/>
          <w:bCs/>
        </w:rPr>
        <w:t>IPANM Ex. 12</w:t>
      </w:r>
      <w:r>
        <w:t xml:space="preserve"> at 8 (Blewitt Rebuttal).  </w:t>
      </w:r>
    </w:p>
    <w:p w14:paraId="7FC5CE86" w14:textId="1A2EE7FB" w:rsidR="00E15329" w:rsidRPr="00324A1B" w:rsidRDefault="00E15329" w:rsidP="00F93CA5">
      <w:pPr>
        <w:pStyle w:val="ListParagraph"/>
        <w:numPr>
          <w:ilvl w:val="0"/>
          <w:numId w:val="2"/>
        </w:numPr>
        <w:spacing w:after="0" w:line="480" w:lineRule="auto"/>
        <w:ind w:left="0" w:firstLine="720"/>
        <w:jc w:val="both"/>
      </w:pPr>
      <w:r>
        <w:rPr>
          <w:color w:val="000000" w:themeColor="text1"/>
        </w:rPr>
        <w:t>Understanding the assumptions used in the modeling is particularly important because of the production decline of an oil and gas well</w:t>
      </w:r>
      <w:r w:rsidR="007B607C">
        <w:rPr>
          <w:color w:val="000000" w:themeColor="text1"/>
        </w:rPr>
        <w:t xml:space="preserve"> over time</w:t>
      </w:r>
      <w:r>
        <w:rPr>
          <w:color w:val="000000" w:themeColor="text1"/>
        </w:rPr>
        <w:t xml:space="preserve">.  </w:t>
      </w:r>
      <w:r>
        <w:rPr>
          <w:b/>
          <w:bCs/>
          <w:color w:val="000000" w:themeColor="text1"/>
        </w:rPr>
        <w:t>IPANM Ex. 12</w:t>
      </w:r>
      <w:r>
        <w:rPr>
          <w:color w:val="000000" w:themeColor="text1"/>
        </w:rPr>
        <w:t xml:space="preserve"> at 9 (Blewitt Rebuttal).  </w:t>
      </w:r>
      <w:r w:rsidR="007B607C">
        <w:rPr>
          <w:color w:val="000000" w:themeColor="text1"/>
        </w:rPr>
        <w:t xml:space="preserve">As wells age, production declines.  </w:t>
      </w:r>
      <w:r w:rsidR="00C47422">
        <w:rPr>
          <w:color w:val="000000" w:themeColor="text1"/>
        </w:rPr>
        <w:t xml:space="preserve">As production declines, emissions decline.  </w:t>
      </w:r>
      <w:r w:rsidR="00C47422">
        <w:rPr>
          <w:b/>
          <w:bCs/>
          <w:i/>
          <w:iCs/>
          <w:color w:val="000000" w:themeColor="text1"/>
        </w:rPr>
        <w:t>Id.</w:t>
      </w:r>
      <w:r w:rsidR="00C47422">
        <w:rPr>
          <w:b/>
          <w:bCs/>
          <w:color w:val="000000" w:themeColor="text1"/>
        </w:rPr>
        <w:t xml:space="preserve"> </w:t>
      </w:r>
      <w:r w:rsidR="00324A1B">
        <w:rPr>
          <w:color w:val="000000" w:themeColor="text1"/>
        </w:rPr>
        <w:t xml:space="preserve">No data was provided in the TSD regarding decline versus new production assumptions.  </w:t>
      </w:r>
      <w:r w:rsidR="00324A1B">
        <w:rPr>
          <w:b/>
          <w:bCs/>
          <w:i/>
          <w:iCs/>
          <w:color w:val="000000" w:themeColor="text1"/>
        </w:rPr>
        <w:t>Id.</w:t>
      </w:r>
      <w:r w:rsidR="00324A1B">
        <w:rPr>
          <w:b/>
          <w:bCs/>
          <w:color w:val="000000" w:themeColor="text1"/>
        </w:rPr>
        <w:t xml:space="preserve">  </w:t>
      </w:r>
    </w:p>
    <w:p w14:paraId="6E1973B3" w14:textId="5C704A56" w:rsidR="00324A1B" w:rsidRPr="006A7695" w:rsidRDefault="00324A1B" w:rsidP="00F93CA5">
      <w:pPr>
        <w:pStyle w:val="ListParagraph"/>
        <w:numPr>
          <w:ilvl w:val="0"/>
          <w:numId w:val="2"/>
        </w:numPr>
        <w:spacing w:after="0" w:line="480" w:lineRule="auto"/>
        <w:ind w:left="0" w:firstLine="720"/>
        <w:jc w:val="both"/>
      </w:pPr>
      <w:r>
        <w:rPr>
          <w:color w:val="000000" w:themeColor="text1"/>
        </w:rPr>
        <w:t>“Accurate emission inventories are a necessary component of accurate modeling.</w:t>
      </w:r>
      <w:r>
        <w:t xml:space="preserve">”  </w:t>
      </w:r>
      <w:r>
        <w:rPr>
          <w:b/>
          <w:bCs/>
        </w:rPr>
        <w:t>IPANM Ex. 12</w:t>
      </w:r>
      <w:r>
        <w:t xml:space="preserve"> at 10 (Blewitt Rebuttal).  The lack of documentation</w:t>
      </w:r>
      <w:r w:rsidR="00266F06">
        <w:t xml:space="preserve"> available makes it impossible to confirm that accurate oil and gas emission inventories were used in modeling.  </w:t>
      </w:r>
      <w:r w:rsidR="00266F06">
        <w:rPr>
          <w:b/>
          <w:bCs/>
          <w:i/>
          <w:iCs/>
        </w:rPr>
        <w:t>Id.</w:t>
      </w:r>
      <w:r w:rsidR="00266F06">
        <w:rPr>
          <w:b/>
          <w:bCs/>
        </w:rPr>
        <w:t xml:space="preserve">  </w:t>
      </w:r>
    </w:p>
    <w:p w14:paraId="77C20919" w14:textId="3B572E16" w:rsidR="00266F06" w:rsidRPr="00663CF7" w:rsidRDefault="004114F2" w:rsidP="00F93CA5">
      <w:pPr>
        <w:pStyle w:val="ListParagraph"/>
        <w:numPr>
          <w:ilvl w:val="0"/>
          <w:numId w:val="2"/>
        </w:numPr>
        <w:spacing w:after="0" w:line="480" w:lineRule="auto"/>
        <w:ind w:left="0" w:firstLine="720"/>
        <w:jc w:val="both"/>
      </w:pPr>
      <w:r>
        <w:rPr>
          <w:color w:val="000000" w:themeColor="text1"/>
        </w:rPr>
        <w:t xml:space="preserve">NMED responded to IPAMN’s criticisms of the TSD.  </w:t>
      </w:r>
      <w:r>
        <w:rPr>
          <w:b/>
          <w:bCs/>
          <w:color w:val="000000" w:themeColor="text1"/>
        </w:rPr>
        <w:t>NMED Reb. Ex. 11</w:t>
      </w:r>
      <w:r>
        <w:rPr>
          <w:color w:val="000000" w:themeColor="text1"/>
        </w:rPr>
        <w:t xml:space="preserve"> at 14 (Morris Rebuttal).  </w:t>
      </w:r>
      <w:r w:rsidR="00F93CA5">
        <w:rPr>
          <w:color w:val="000000" w:themeColor="text1"/>
        </w:rPr>
        <w:t xml:space="preserve">Mr. Morris </w:t>
      </w:r>
      <w:r>
        <w:rPr>
          <w:color w:val="000000" w:themeColor="text1"/>
        </w:rPr>
        <w:t xml:space="preserve">testified that the 2014 base case emissions were based on the WRAP2014v2 </w:t>
      </w:r>
      <w:proofErr w:type="gramStart"/>
      <w:r>
        <w:rPr>
          <w:color w:val="000000" w:themeColor="text1"/>
        </w:rPr>
        <w:t>inventory</w:t>
      </w:r>
      <w:proofErr w:type="gramEnd"/>
      <w:r>
        <w:rPr>
          <w:color w:val="000000" w:themeColor="text1"/>
        </w:rPr>
        <w:t xml:space="preserve"> and the </w:t>
      </w:r>
      <w:r w:rsidR="004C2024">
        <w:rPr>
          <w:color w:val="000000" w:themeColor="text1"/>
        </w:rPr>
        <w:t>202</w:t>
      </w:r>
      <w:r w:rsidR="00F2486B">
        <w:rPr>
          <w:color w:val="000000" w:themeColor="text1"/>
        </w:rPr>
        <w:t>8</w:t>
      </w:r>
      <w:r>
        <w:rPr>
          <w:color w:val="000000" w:themeColor="text1"/>
        </w:rPr>
        <w:t xml:space="preserve"> base case emissions were based on the WRAP 2028OTBa2 emissions inventory.  </w:t>
      </w:r>
      <w:r>
        <w:rPr>
          <w:b/>
          <w:bCs/>
          <w:i/>
          <w:iCs/>
          <w:color w:val="000000" w:themeColor="text1"/>
        </w:rPr>
        <w:t>Id.</w:t>
      </w:r>
      <w:r>
        <w:rPr>
          <w:b/>
          <w:bCs/>
          <w:color w:val="000000" w:themeColor="text1"/>
        </w:rPr>
        <w:t xml:space="preserve">  </w:t>
      </w:r>
      <w:r>
        <w:rPr>
          <w:color w:val="000000" w:themeColor="text1"/>
        </w:rPr>
        <w:t>Further, links to the documents and webpages that were relied on were provided throughout the TSD and such links document the development of the emission inventories.</w:t>
      </w:r>
      <w:r w:rsidR="00663CF7">
        <w:rPr>
          <w:color w:val="000000" w:themeColor="text1"/>
        </w:rPr>
        <w:t xml:space="preserve">  </w:t>
      </w:r>
      <w:r w:rsidR="00663CF7">
        <w:rPr>
          <w:b/>
          <w:bCs/>
          <w:i/>
          <w:iCs/>
          <w:color w:val="000000" w:themeColor="text1"/>
        </w:rPr>
        <w:t>Id.</w:t>
      </w:r>
      <w:r w:rsidR="00663CF7">
        <w:rPr>
          <w:b/>
          <w:bCs/>
          <w:color w:val="000000" w:themeColor="text1"/>
        </w:rPr>
        <w:t xml:space="preserve"> </w:t>
      </w:r>
    </w:p>
    <w:p w14:paraId="672E66C7" w14:textId="685EEC9E" w:rsidR="00663CF7" w:rsidRPr="005E794E" w:rsidRDefault="00F93CA5" w:rsidP="00F93CA5">
      <w:pPr>
        <w:pStyle w:val="ListParagraph"/>
        <w:numPr>
          <w:ilvl w:val="0"/>
          <w:numId w:val="2"/>
        </w:numPr>
        <w:spacing w:after="0" w:line="480" w:lineRule="auto"/>
        <w:ind w:left="0" w:firstLine="720"/>
        <w:jc w:val="both"/>
      </w:pPr>
      <w:r>
        <w:rPr>
          <w:color w:val="000000" w:themeColor="text1"/>
        </w:rPr>
        <w:t>Mr. Morris</w:t>
      </w:r>
      <w:r w:rsidR="00663CF7">
        <w:rPr>
          <w:color w:val="000000" w:themeColor="text1"/>
        </w:rPr>
        <w:t xml:space="preserve"> discuss</w:t>
      </w:r>
      <w:r w:rsidR="007B607C">
        <w:rPr>
          <w:color w:val="000000" w:themeColor="text1"/>
        </w:rPr>
        <w:t>ed</w:t>
      </w:r>
      <w:r w:rsidR="00663CF7">
        <w:rPr>
          <w:color w:val="000000" w:themeColor="text1"/>
        </w:rPr>
        <w:t xml:space="preserve"> the 34% increase and 42% decrease in New Mexico Oil and Gas NOx and VOC emissions, respectively.</w:t>
      </w:r>
      <w:r w:rsidR="00663CF7">
        <w:t xml:space="preserve">  </w:t>
      </w:r>
      <w:r w:rsidR="00663CF7">
        <w:rPr>
          <w:b/>
          <w:bCs/>
        </w:rPr>
        <w:t>NMED Reb. Ex. 11</w:t>
      </w:r>
      <w:r w:rsidR="00663CF7">
        <w:t xml:space="preserve"> at 18 (Morris Rebuttal).  </w:t>
      </w:r>
      <w:r>
        <w:t>He</w:t>
      </w:r>
      <w:r w:rsidR="00663CF7">
        <w:t xml:space="preserve"> highlight</w:t>
      </w:r>
      <w:r w:rsidR="007B607C">
        <w:t>ed</w:t>
      </w:r>
      <w:r w:rsidR="00663CF7">
        <w:t xml:space="preserve"> that the TSD compares the 2014 and 2028 New Mexico Oil and Gas NOx and VOC emissions before the New Mexico Oil and Gas emissions are processed by the SMOKE emissions model and the CAMx-ready emission inputs after the New Mexico Oil and Gas emissions are processed by SMOKE.  </w:t>
      </w:r>
      <w:r w:rsidR="00663CF7">
        <w:rPr>
          <w:b/>
          <w:bCs/>
          <w:i/>
          <w:iCs/>
        </w:rPr>
        <w:t>Id.</w:t>
      </w:r>
      <w:r w:rsidR="00663CF7">
        <w:rPr>
          <w:b/>
          <w:bCs/>
        </w:rPr>
        <w:t xml:space="preserve"> </w:t>
      </w:r>
      <w:r w:rsidR="00663CF7">
        <w:t xml:space="preserve">at 18.  Further, the SMOKE emission model “performs temporal </w:t>
      </w:r>
      <w:r w:rsidR="00663CF7">
        <w:lastRenderedPageBreak/>
        <w:t xml:space="preserve">adjustments, spatial disaggregation, and chemical speciation that can result in alterations of the annual emissions.”  </w:t>
      </w:r>
      <w:r w:rsidR="00663CF7">
        <w:rPr>
          <w:b/>
          <w:bCs/>
          <w:i/>
          <w:iCs/>
        </w:rPr>
        <w:t>Id.</w:t>
      </w:r>
      <w:r w:rsidR="00663CF7">
        <w:rPr>
          <w:b/>
          <w:bCs/>
        </w:rPr>
        <w:t xml:space="preserve">  </w:t>
      </w:r>
    </w:p>
    <w:p w14:paraId="7DBB782D" w14:textId="3BC10E15" w:rsidR="005E794E" w:rsidRDefault="005E794E" w:rsidP="00F93CA5">
      <w:pPr>
        <w:pStyle w:val="ListParagraph"/>
        <w:numPr>
          <w:ilvl w:val="0"/>
          <w:numId w:val="2"/>
        </w:numPr>
        <w:spacing w:after="0" w:line="480" w:lineRule="auto"/>
        <w:ind w:left="0" w:firstLine="720"/>
        <w:jc w:val="both"/>
      </w:pPr>
      <w:r>
        <w:rPr>
          <w:color w:val="000000" w:themeColor="text1"/>
        </w:rPr>
        <w:t xml:space="preserve">At the hearing, NMED testified that it did not </w:t>
      </w:r>
      <w:r w:rsidR="00F93CA5">
        <w:rPr>
          <w:color w:val="000000" w:themeColor="text1"/>
        </w:rPr>
        <w:t>evaluate emissions</w:t>
      </w:r>
      <w:r>
        <w:rPr>
          <w:color w:val="000000" w:themeColor="text1"/>
        </w:rPr>
        <w:t xml:space="preserve"> outside of the 2028 Oil and Gas emissions because the emissions were taken from the WRAP Regional Haze inventories.</w:t>
      </w:r>
      <w:r>
        <w:t xml:space="preserve">  Tr. Vol. 2, 377:18-23 (Morris).  The WRAP inventories “are some of the most vetted and reviewed and documented inventories ever developed by the </w:t>
      </w:r>
      <w:r w:rsidR="008F50BF">
        <w:t xml:space="preserve">western states.”  Tr. Vol. 2, 377:23-25 (Morris).  </w:t>
      </w:r>
    </w:p>
    <w:p w14:paraId="09083927" w14:textId="1A379937" w:rsidR="008F50BF" w:rsidRDefault="008F50BF" w:rsidP="00F93CA5">
      <w:pPr>
        <w:pStyle w:val="ListParagraph"/>
        <w:numPr>
          <w:ilvl w:val="0"/>
          <w:numId w:val="2"/>
        </w:numPr>
        <w:spacing w:after="0" w:line="480" w:lineRule="auto"/>
        <w:ind w:left="0" w:firstLine="720"/>
        <w:jc w:val="both"/>
      </w:pPr>
      <w:r>
        <w:rPr>
          <w:color w:val="000000" w:themeColor="text1"/>
        </w:rPr>
        <w:t>NMED further testified that the WRAP inventories are on numerous websites and webpages.</w:t>
      </w:r>
      <w:r>
        <w:t xml:space="preserve">  Tr. Vol. 2, 378:1-4 (Morris). </w:t>
      </w:r>
    </w:p>
    <w:p w14:paraId="61FD9511" w14:textId="1EE50D05" w:rsidR="00075C6A" w:rsidRDefault="00F93CA5" w:rsidP="00F93CA5">
      <w:pPr>
        <w:pStyle w:val="ListParagraph"/>
        <w:numPr>
          <w:ilvl w:val="0"/>
          <w:numId w:val="2"/>
        </w:numPr>
        <w:spacing w:after="0" w:line="480" w:lineRule="auto"/>
        <w:ind w:left="0" w:firstLine="720"/>
        <w:jc w:val="both"/>
      </w:pPr>
      <w:r>
        <w:rPr>
          <w:color w:val="000000" w:themeColor="text1"/>
        </w:rPr>
        <w:t xml:space="preserve">IPANM’s witness </w:t>
      </w:r>
      <w:r w:rsidR="00F51538">
        <w:rPr>
          <w:color w:val="000000" w:themeColor="text1"/>
        </w:rPr>
        <w:t xml:space="preserve">Mr. Blewitt </w:t>
      </w:r>
      <w:r w:rsidR="00075C6A">
        <w:rPr>
          <w:color w:val="000000" w:themeColor="text1"/>
        </w:rPr>
        <w:t xml:space="preserve">testified that </w:t>
      </w:r>
      <w:r w:rsidR="007B607C">
        <w:rPr>
          <w:color w:val="000000" w:themeColor="text1"/>
        </w:rPr>
        <w:t>he</w:t>
      </w:r>
      <w:r w:rsidR="00075C6A">
        <w:rPr>
          <w:color w:val="000000" w:themeColor="text1"/>
        </w:rPr>
        <w:t xml:space="preserve"> had looked through the WRAP inventories more than once and </w:t>
      </w:r>
      <w:r w:rsidR="00F51538">
        <w:rPr>
          <w:color w:val="000000" w:themeColor="text1"/>
        </w:rPr>
        <w:t>he</w:t>
      </w:r>
      <w:r w:rsidR="00075C6A">
        <w:rPr>
          <w:color w:val="000000" w:themeColor="text1"/>
        </w:rPr>
        <w:t xml:space="preserve"> was unable to find any documentation for the base case inventory.</w:t>
      </w:r>
      <w:r w:rsidR="00075C6A">
        <w:t xml:space="preserve">  Tr. Vol. 2, 451:18-21 (Blewitt).  Further, when the inventories were requested through NMED, all that was provided was a tabular list of numbers and emissions rates</w:t>
      </w:r>
      <w:r w:rsidR="00F51538">
        <w:t>,</w:t>
      </w:r>
      <w:r w:rsidR="00075C6A">
        <w:t xml:space="preserve"> rather than specific details.  Tr. Vol. 2, 452:2-6 (Blewitt). </w:t>
      </w:r>
    </w:p>
    <w:p w14:paraId="3C84A85B" w14:textId="51AE300F" w:rsidR="00075C6A" w:rsidRDefault="007B607C" w:rsidP="00F93CA5">
      <w:pPr>
        <w:pStyle w:val="ListParagraph"/>
        <w:numPr>
          <w:ilvl w:val="0"/>
          <w:numId w:val="2"/>
        </w:numPr>
        <w:spacing w:after="0" w:line="480" w:lineRule="auto"/>
        <w:ind w:left="0" w:firstLine="720"/>
        <w:jc w:val="both"/>
      </w:pPr>
      <w:r>
        <w:rPr>
          <w:color w:val="000000" w:themeColor="text1"/>
        </w:rPr>
        <w:t xml:space="preserve">Mr. Blewitt </w:t>
      </w:r>
      <w:r w:rsidR="00075C6A">
        <w:rPr>
          <w:color w:val="000000" w:themeColor="text1"/>
        </w:rPr>
        <w:t>also discussed the lack of documentation that has been available and that such documentation is important to understand what is present in an inventory.</w:t>
      </w:r>
      <w:r w:rsidR="00075C6A">
        <w:t xml:space="preserve">  Tr. Vol. 2, 454:10-12 (Blewitt).</w:t>
      </w:r>
    </w:p>
    <w:p w14:paraId="6DD6D4F7" w14:textId="78460FEC" w:rsidR="00D7020A" w:rsidRPr="00B21956" w:rsidRDefault="00F93CA5" w:rsidP="00F93CA5">
      <w:pPr>
        <w:pStyle w:val="ListParagraph"/>
        <w:numPr>
          <w:ilvl w:val="0"/>
          <w:numId w:val="2"/>
        </w:numPr>
        <w:spacing w:after="0" w:line="480" w:lineRule="auto"/>
        <w:ind w:left="0" w:firstLine="720"/>
        <w:jc w:val="both"/>
      </w:pPr>
      <w:r>
        <w:rPr>
          <w:color w:val="000000" w:themeColor="text1"/>
        </w:rPr>
        <w:t>Mr. Morris</w:t>
      </w:r>
      <w:r w:rsidR="00D7020A">
        <w:rPr>
          <w:color w:val="000000" w:themeColor="text1"/>
        </w:rPr>
        <w:t xml:space="preserve"> testified that production decline is also accounted for in the emission inventories by including a collection of wells of various ages and productions levels and the same assumption is used again for 2028.  Tr. Vol. 2, 378:3-16 (Morris).  </w:t>
      </w:r>
    </w:p>
    <w:p w14:paraId="675BAB1C" w14:textId="2100019F" w:rsidR="00446317" w:rsidRPr="00EE6E98" w:rsidRDefault="00B21956" w:rsidP="00F93CA5">
      <w:pPr>
        <w:pStyle w:val="ListParagraph"/>
        <w:numPr>
          <w:ilvl w:val="0"/>
          <w:numId w:val="2"/>
        </w:numPr>
        <w:spacing w:after="0" w:line="480" w:lineRule="auto"/>
        <w:ind w:left="0" w:firstLine="720"/>
        <w:jc w:val="both"/>
      </w:pPr>
      <w:r>
        <w:rPr>
          <w:color w:val="000000" w:themeColor="text1"/>
        </w:rPr>
        <w:t xml:space="preserve">Due to the uncertainties around the emission inventories used in the modeling of the 2014 and 2028 base cases, the </w:t>
      </w:r>
      <w:r w:rsidR="00571876">
        <w:rPr>
          <w:color w:val="000000" w:themeColor="text1"/>
        </w:rPr>
        <w:t>Board</w:t>
      </w:r>
      <w:r>
        <w:rPr>
          <w:color w:val="000000" w:themeColor="text1"/>
        </w:rPr>
        <w:t xml:space="preserve"> finds that it cannot determine the validity of the modeling completed in </w:t>
      </w:r>
      <w:r w:rsidR="00F51538">
        <w:rPr>
          <w:color w:val="000000" w:themeColor="text1"/>
        </w:rPr>
        <w:t>support</w:t>
      </w:r>
      <w:r>
        <w:rPr>
          <w:color w:val="000000" w:themeColor="text1"/>
        </w:rPr>
        <w:t xml:space="preserve"> of this rulemaking. </w:t>
      </w:r>
    </w:p>
    <w:p w14:paraId="3A3FEABF" w14:textId="6BCC703D" w:rsidR="00EE6E98" w:rsidRDefault="00EE6E98" w:rsidP="00EE6E98">
      <w:pPr>
        <w:pStyle w:val="Heading3"/>
      </w:pPr>
      <w:bookmarkStart w:id="10" w:name="_Toc93581888"/>
      <w:r>
        <w:lastRenderedPageBreak/>
        <w:t xml:space="preserve">Counties Subject to the </w:t>
      </w:r>
      <w:r w:rsidR="0057555C">
        <w:t>Ozone Rule</w:t>
      </w:r>
      <w:bookmarkEnd w:id="10"/>
      <w:r>
        <w:t xml:space="preserve"> </w:t>
      </w:r>
    </w:p>
    <w:p w14:paraId="0D318C98" w14:textId="77777777" w:rsidR="0076128E" w:rsidRPr="0076128E" w:rsidRDefault="0076128E" w:rsidP="0076128E">
      <w:pPr>
        <w:spacing w:after="0"/>
      </w:pPr>
    </w:p>
    <w:p w14:paraId="6C06FD50" w14:textId="2D9E8A2E" w:rsidR="0076128E" w:rsidRDefault="0076128E" w:rsidP="00F93CA5">
      <w:pPr>
        <w:pStyle w:val="ListParagraph"/>
        <w:numPr>
          <w:ilvl w:val="0"/>
          <w:numId w:val="2"/>
        </w:numPr>
        <w:spacing w:line="480" w:lineRule="auto"/>
        <w:ind w:left="0" w:firstLine="720"/>
        <w:jc w:val="both"/>
      </w:pPr>
      <w:r>
        <w:t>NMED propose</w:t>
      </w:r>
      <w:r w:rsidR="007B607C">
        <w:t>d</w:t>
      </w:r>
      <w:r w:rsidR="008B6480">
        <w:t xml:space="preserve"> that the rule should be applied to sources in areas of the state that exceed ninety-five percent of the NAAQS for ozone</w:t>
      </w:r>
      <w:r w:rsidR="007B607C">
        <w:t xml:space="preserve"> and areas where emission cause or contribute to </w:t>
      </w:r>
      <w:r w:rsidR="005271F3">
        <w:t>those ozone levels</w:t>
      </w:r>
      <w:r w:rsidR="008B6480">
        <w:t xml:space="preserve">.  </w:t>
      </w:r>
      <w:r w:rsidR="00FE2C54">
        <w:rPr>
          <w:i/>
          <w:iCs/>
        </w:rPr>
        <w:t>NMED Petition</w:t>
      </w:r>
      <w:r w:rsidR="00FE2C54">
        <w:t>, Proposed Part 20.2.50 NMAC.</w:t>
      </w:r>
    </w:p>
    <w:p w14:paraId="63EE74A1" w14:textId="7BC0FB8C" w:rsidR="008B6480" w:rsidRDefault="008B6480" w:rsidP="00F93CA5">
      <w:pPr>
        <w:pStyle w:val="ListParagraph"/>
        <w:numPr>
          <w:ilvl w:val="0"/>
          <w:numId w:val="2"/>
        </w:numPr>
        <w:spacing w:line="480" w:lineRule="auto"/>
        <w:ind w:left="0" w:firstLine="720"/>
        <w:jc w:val="both"/>
      </w:pPr>
      <w:r>
        <w:t xml:space="preserve">IPANM </w:t>
      </w:r>
      <w:r w:rsidR="005271F3">
        <w:t xml:space="preserve">supported limiting the Ozone Rule </w:t>
      </w:r>
      <w:r w:rsidR="00305CD8">
        <w:t xml:space="preserve">to those areas </w:t>
      </w:r>
      <w:r w:rsidR="005271F3">
        <w:t xml:space="preserve">of New Mexico </w:t>
      </w:r>
      <w:r w:rsidR="00305CD8">
        <w:t xml:space="preserve">with a design </w:t>
      </w:r>
      <w:r w:rsidR="000F16E1">
        <w:t>value that is gr</w:t>
      </w:r>
      <w:r w:rsidR="00053AE4">
        <w:t>e</w:t>
      </w:r>
      <w:r w:rsidR="000F16E1">
        <w:t xml:space="preserve">ater than 95 percent of the federal ozone NAAQS. </w:t>
      </w:r>
      <w:r w:rsidR="000F16E1">
        <w:rPr>
          <w:b/>
          <w:bCs/>
        </w:rPr>
        <w:t>IPANM Ex. 2</w:t>
      </w:r>
      <w:r w:rsidR="000F16E1">
        <w:t xml:space="preserve"> at 5 (Davis Direct).  Further, IPANM believes it should be the Board’s responsibility to add or delete areas subject to the regulations, based on future monitored ozone concentrations.  </w:t>
      </w:r>
      <w:r w:rsidR="000F16E1">
        <w:rPr>
          <w:b/>
          <w:bCs/>
          <w:i/>
          <w:iCs/>
        </w:rPr>
        <w:t>Id.</w:t>
      </w:r>
      <w:r w:rsidR="000F16E1">
        <w:rPr>
          <w:b/>
          <w:bCs/>
        </w:rPr>
        <w:t xml:space="preserve">; </w:t>
      </w:r>
      <w:r w:rsidR="000F16E1" w:rsidRPr="000F16E1">
        <w:rPr>
          <w:b/>
          <w:bCs/>
        </w:rPr>
        <w:t>IPANM Ex. 1</w:t>
      </w:r>
      <w:r w:rsidR="000F16E1">
        <w:t xml:space="preserve"> at 1:16-24.</w:t>
      </w:r>
    </w:p>
    <w:p w14:paraId="1E64BF37" w14:textId="1D42FF9B" w:rsidR="004A0A66" w:rsidRPr="00BB7609" w:rsidRDefault="004A0A66" w:rsidP="00F93CA5">
      <w:pPr>
        <w:pStyle w:val="ListParagraph"/>
        <w:numPr>
          <w:ilvl w:val="0"/>
          <w:numId w:val="2"/>
        </w:numPr>
        <w:spacing w:line="480" w:lineRule="auto"/>
        <w:ind w:left="0" w:firstLine="720"/>
        <w:jc w:val="both"/>
      </w:pPr>
      <w:r>
        <w:t>NMED oppose</w:t>
      </w:r>
      <w:r w:rsidR="00B261FF">
        <w:t>d</w:t>
      </w:r>
      <w:r>
        <w:t xml:space="preserve"> IPANM’s position that NMED must petition the Board to remove areas of the state from the rule if their design values fall below 95%.  </w:t>
      </w:r>
      <w:r>
        <w:rPr>
          <w:b/>
          <w:bCs/>
        </w:rPr>
        <w:t>NMED Reb. Ex. 1</w:t>
      </w:r>
      <w:r>
        <w:t xml:space="preserve"> at 3 (Kuehn/Palmer Rebuttal).  NMED argues that the purpose of Part 50 is to keep areas of the state in compliance with the NAAQS.  </w:t>
      </w:r>
      <w:r>
        <w:rPr>
          <w:b/>
          <w:bCs/>
          <w:i/>
          <w:iCs/>
        </w:rPr>
        <w:t>Id.</w:t>
      </w:r>
      <w:r>
        <w:t xml:space="preserve"> at 4.  To maintain compliance, the requirements of Part 50 must stay in place.  </w:t>
      </w:r>
      <w:r>
        <w:rPr>
          <w:b/>
          <w:bCs/>
          <w:i/>
          <w:iCs/>
        </w:rPr>
        <w:t>Id.</w:t>
      </w:r>
    </w:p>
    <w:p w14:paraId="19FB6127" w14:textId="2A1C09AF" w:rsidR="00BB7609" w:rsidRDefault="00BB7609" w:rsidP="00F93CA5">
      <w:pPr>
        <w:pStyle w:val="ListParagraph"/>
        <w:numPr>
          <w:ilvl w:val="0"/>
          <w:numId w:val="2"/>
        </w:numPr>
        <w:spacing w:line="480" w:lineRule="auto"/>
        <w:ind w:left="0" w:firstLine="720"/>
        <w:jc w:val="both"/>
      </w:pPr>
      <w:r>
        <w:t>At the hearing, NMED testified that the current rule outlines the counties that are subject to Part 50</w:t>
      </w:r>
      <w:r w:rsidR="00053AE4">
        <w:t>,</w:t>
      </w:r>
      <w:r>
        <w:t xml:space="preserve"> as well as a process and timeline for NMED to petition the Board to incorporate new areas.  Tr. Vol. 2, 621:4-8 (Bisbey-Kuehn).  Further, the rule clarifies that once a source becomes subject to Part 50, it will remain subject to the rule “unless it obtains an air permit with federally enforceable emission limits to lower emissions below the threshold.”  Tr. Vol. 2, 621:8-12 (Bisbey-Kuehn).  </w:t>
      </w:r>
    </w:p>
    <w:p w14:paraId="6C45617A" w14:textId="2B6C118A" w:rsidR="00B14FDE" w:rsidRDefault="00B14FDE" w:rsidP="00F93CA5">
      <w:pPr>
        <w:pStyle w:val="ListParagraph"/>
        <w:numPr>
          <w:ilvl w:val="0"/>
          <w:numId w:val="2"/>
        </w:numPr>
        <w:spacing w:line="480" w:lineRule="auto"/>
        <w:ind w:left="0" w:firstLine="720"/>
        <w:jc w:val="both"/>
      </w:pPr>
      <w:r>
        <w:t>NMOGA testified that the current counties that would be included in this rule would be Dona Ana, Eddy, Lea, Sandoval, San Juan</w:t>
      </w:r>
      <w:r w:rsidR="00605DEB">
        <w:t>,</w:t>
      </w:r>
      <w:r>
        <w:t xml:space="preserve"> and Valencia.  Tr. Vol. 2, 630:20-23 (Smitherman).  </w:t>
      </w:r>
    </w:p>
    <w:p w14:paraId="7D9DA419" w14:textId="7A4E5174" w:rsidR="00B14FDE" w:rsidRDefault="00B14FDE" w:rsidP="00F93CA5">
      <w:pPr>
        <w:pStyle w:val="ListParagraph"/>
        <w:numPr>
          <w:ilvl w:val="0"/>
          <w:numId w:val="2"/>
        </w:numPr>
        <w:spacing w:line="480" w:lineRule="auto"/>
        <w:ind w:left="0" w:firstLine="720"/>
        <w:jc w:val="both"/>
      </w:pPr>
      <w:r>
        <w:lastRenderedPageBreak/>
        <w:t xml:space="preserve">NMOGA supported NMED in creating a process for areas or counties that are added in the future to the public has an opportunity “to challenge and understand how [the] criteria </w:t>
      </w:r>
      <w:proofErr w:type="gramStart"/>
      <w:r>
        <w:t>has</w:t>
      </w:r>
      <w:proofErr w:type="gramEnd"/>
      <w:r>
        <w:t xml:space="preserve"> been met.”  Tr. Vol. 2, 631:1-10 (Smitherman).  </w:t>
      </w:r>
    </w:p>
    <w:p w14:paraId="551F4989" w14:textId="53926748" w:rsidR="00341031" w:rsidRPr="00F93CA5" w:rsidRDefault="00B14FDE" w:rsidP="00F93CA5">
      <w:pPr>
        <w:pStyle w:val="ListParagraph"/>
        <w:numPr>
          <w:ilvl w:val="0"/>
          <w:numId w:val="2"/>
        </w:numPr>
        <w:spacing w:line="480" w:lineRule="auto"/>
        <w:ind w:left="0" w:firstLine="720"/>
        <w:jc w:val="both"/>
      </w:pPr>
      <w:r w:rsidRPr="00FE2C54">
        <w:t>IPANM agreed with NMOGA’s testimony</w:t>
      </w:r>
      <w:r w:rsidR="00341031" w:rsidRPr="00FE2C54">
        <w:t>.</w:t>
      </w:r>
      <w:r w:rsidR="00EE3DD6" w:rsidRPr="00F93CA5">
        <w:t xml:space="preserve">  Tr. Vol. 2, 638:12-16 (R. Davis).</w:t>
      </w:r>
    </w:p>
    <w:p w14:paraId="2997B665" w14:textId="70343E52" w:rsidR="00B14FDE" w:rsidRDefault="00341031" w:rsidP="00F93CA5">
      <w:pPr>
        <w:pStyle w:val="ListParagraph"/>
        <w:numPr>
          <w:ilvl w:val="0"/>
          <w:numId w:val="2"/>
        </w:numPr>
        <w:spacing w:line="480" w:lineRule="auto"/>
        <w:ind w:left="0" w:firstLine="720"/>
        <w:jc w:val="both"/>
      </w:pPr>
      <w:r>
        <w:t>IPANM</w:t>
      </w:r>
      <w:r w:rsidR="00B14FDE">
        <w:t xml:space="preserve"> objected to the inclusion of Chaves and Rio Arriba Counties</w:t>
      </w:r>
      <w:r>
        <w:t xml:space="preserve">.  Those counties did not have ambient ozone concentrations </w:t>
      </w:r>
      <w:proofErr w:type="gramStart"/>
      <w:r>
        <w:t>in excess of</w:t>
      </w:r>
      <w:proofErr w:type="gramEnd"/>
      <w:r>
        <w:t xml:space="preserve"> 95% of the ozone NAAQS.  IPANM disagreed that emissions in those</w:t>
      </w:r>
      <w:r w:rsidR="00B14FDE">
        <w:t xml:space="preserve"> </w:t>
      </w:r>
      <w:r w:rsidR="00B261FF">
        <w:t xml:space="preserve">counties </w:t>
      </w:r>
      <w:r>
        <w:t>c</w:t>
      </w:r>
      <w:r w:rsidR="00B261FF">
        <w:t xml:space="preserve">aused or contributed to ozone concentrations </w:t>
      </w:r>
      <w:proofErr w:type="gramStart"/>
      <w:r w:rsidR="00B261FF">
        <w:t>in excess of</w:t>
      </w:r>
      <w:proofErr w:type="gramEnd"/>
      <w:r w:rsidR="00B261FF">
        <w:t xml:space="preserve"> 95% of the NAAQS</w:t>
      </w:r>
      <w:r w:rsidR="002A1B5F">
        <w:t xml:space="preserve"> in other counties or areas of the state</w:t>
      </w:r>
      <w:r w:rsidR="00B14FDE">
        <w:t xml:space="preserve">.  Tr. Vol. 2, 638:12-16 (R. Davis).  </w:t>
      </w:r>
    </w:p>
    <w:p w14:paraId="065187FD" w14:textId="3530F4A5" w:rsidR="00E27D3C" w:rsidRDefault="00B261FF" w:rsidP="00F93CA5">
      <w:pPr>
        <w:pStyle w:val="ListParagraph"/>
        <w:numPr>
          <w:ilvl w:val="0"/>
          <w:numId w:val="2"/>
        </w:numPr>
        <w:spacing w:line="480" w:lineRule="auto"/>
        <w:ind w:left="0" w:firstLine="720"/>
        <w:jc w:val="both"/>
      </w:pPr>
      <w:r>
        <w:t xml:space="preserve">During the hearing, </w:t>
      </w:r>
      <w:r w:rsidR="00E27D3C">
        <w:t xml:space="preserve">IPANM dropped its challenge to including a process for removing counties to the rule </w:t>
      </w:r>
      <w:r w:rsidR="007A32A3">
        <w:t>considering</w:t>
      </w:r>
      <w:r w:rsidR="00E27D3C">
        <w:t xml:space="preserve"> the revisions NMED included in the rule.  Tr. Vol. 2, 639:9-14 (R. Davis). </w:t>
      </w:r>
    </w:p>
    <w:p w14:paraId="1C967209" w14:textId="650FCACA" w:rsidR="00941858" w:rsidRDefault="00941858" w:rsidP="00F93CA5">
      <w:pPr>
        <w:pStyle w:val="ListParagraph"/>
        <w:numPr>
          <w:ilvl w:val="0"/>
          <w:numId w:val="2"/>
        </w:numPr>
        <w:spacing w:line="480" w:lineRule="auto"/>
        <w:ind w:left="0" w:firstLine="720"/>
        <w:jc w:val="both"/>
      </w:pPr>
      <w:r>
        <w:t xml:space="preserve">Based on the evidence presented, the </w:t>
      </w:r>
      <w:r w:rsidR="00571876">
        <w:t>Board</w:t>
      </w:r>
      <w:r>
        <w:t xml:space="preserve"> finds the </w:t>
      </w:r>
      <w:r w:rsidR="00196A62">
        <w:t xml:space="preserve">September </w:t>
      </w:r>
      <w:r>
        <w:t>16, 2021</w:t>
      </w:r>
      <w:r w:rsidR="004911D2">
        <w:t>,</w:t>
      </w:r>
      <w:r>
        <w:t xml:space="preserve"> version </w:t>
      </w:r>
      <w:proofErr w:type="gramStart"/>
      <w:r>
        <w:t xml:space="preserve">of  </w:t>
      </w:r>
      <w:r w:rsidR="00B261FF">
        <w:t>20.2.50.2</w:t>
      </w:r>
      <w:proofErr w:type="gramEnd"/>
      <w:r w:rsidR="00B261FF">
        <w:t xml:space="preserve"> NMAC </w:t>
      </w:r>
      <w:r>
        <w:t xml:space="preserve">with IPANM’s revisions </w:t>
      </w:r>
      <w:r w:rsidR="00341031">
        <w:t>is</w:t>
      </w:r>
      <w:r>
        <w:t xml:space="preserve"> appropriate and should be adopted.</w:t>
      </w:r>
    </w:p>
    <w:p w14:paraId="04ABD9E4" w14:textId="10D1BC27" w:rsidR="004911D2" w:rsidRDefault="004911D2" w:rsidP="004911D2">
      <w:pPr>
        <w:pStyle w:val="Heading2"/>
      </w:pPr>
      <w:bookmarkStart w:id="11" w:name="_Toc93581889"/>
      <w:r>
        <w:t xml:space="preserve">20.2.50.7 </w:t>
      </w:r>
      <w:r w:rsidR="001E7116">
        <w:t xml:space="preserve">NMAC </w:t>
      </w:r>
      <w:r>
        <w:t>Definitions</w:t>
      </w:r>
      <w:bookmarkEnd w:id="11"/>
      <w:r>
        <w:t xml:space="preserve"> </w:t>
      </w:r>
    </w:p>
    <w:p w14:paraId="709B326D" w14:textId="19D1CBA1" w:rsidR="00CC6010" w:rsidRPr="001E7116" w:rsidRDefault="00FE2C54" w:rsidP="00CC6010">
      <w:pPr>
        <w:pStyle w:val="ListParagraph"/>
        <w:numPr>
          <w:ilvl w:val="0"/>
          <w:numId w:val="2"/>
        </w:numPr>
        <w:spacing w:after="0" w:line="480" w:lineRule="auto"/>
        <w:ind w:left="0" w:firstLine="720"/>
        <w:jc w:val="both"/>
      </w:pPr>
      <w:r>
        <w:rPr>
          <w:color w:val="000000" w:themeColor="text1"/>
        </w:rPr>
        <w:t xml:space="preserve">IPANM proposed several small changes to Section 7.  </w:t>
      </w:r>
      <w:r>
        <w:rPr>
          <w:i/>
          <w:iCs/>
          <w:color w:val="000000" w:themeColor="text1"/>
        </w:rPr>
        <w:t>See</w:t>
      </w:r>
      <w:r>
        <w:rPr>
          <w:color w:val="000000" w:themeColor="text1"/>
        </w:rPr>
        <w:t xml:space="preserve"> </w:t>
      </w:r>
      <w:r w:rsidR="00FF65D8">
        <w:rPr>
          <w:color w:val="000000" w:themeColor="text1"/>
        </w:rPr>
        <w:t xml:space="preserve">Attached Exhibit A, IPANM’s </w:t>
      </w:r>
      <w:r>
        <w:rPr>
          <w:color w:val="000000" w:themeColor="text1"/>
        </w:rPr>
        <w:t xml:space="preserve">Proposed 20.2.50 NMAC.  These changes are not substantive and are meant to further clarify the rule.  </w:t>
      </w:r>
    </w:p>
    <w:p w14:paraId="5E5F93F1" w14:textId="2C110D08" w:rsidR="00FE2C54" w:rsidRPr="004911D2" w:rsidRDefault="00FE2C54" w:rsidP="001E7116">
      <w:pPr>
        <w:pStyle w:val="ListParagraph"/>
        <w:numPr>
          <w:ilvl w:val="0"/>
          <w:numId w:val="2"/>
        </w:numPr>
        <w:spacing w:after="0" w:line="480" w:lineRule="auto"/>
        <w:ind w:left="0" w:firstLine="720"/>
        <w:jc w:val="both"/>
      </w:pPr>
      <w:r>
        <w:rPr>
          <w:color w:val="000000" w:themeColor="text1"/>
        </w:rPr>
        <w:t xml:space="preserve">The Board finds that IPANM’s clarifications of Section 7 are well-taken and adopts 20.2.50.7 NMAC as written </w:t>
      </w:r>
      <w:r w:rsidR="001E7116">
        <w:rPr>
          <w:color w:val="000000" w:themeColor="text1"/>
        </w:rPr>
        <w:t xml:space="preserve">in </w:t>
      </w:r>
      <w:r w:rsidR="003312F6">
        <w:rPr>
          <w:color w:val="000000" w:themeColor="text1"/>
        </w:rPr>
        <w:t>IPANM’s</w:t>
      </w:r>
      <w:r>
        <w:rPr>
          <w:color w:val="000000" w:themeColor="text1"/>
        </w:rPr>
        <w:t xml:space="preserve"> Proposed</w:t>
      </w:r>
      <w:r w:rsidR="003312F6">
        <w:rPr>
          <w:color w:val="000000" w:themeColor="text1"/>
        </w:rPr>
        <w:t xml:space="preserve"> Final</w:t>
      </w:r>
      <w:r>
        <w:rPr>
          <w:color w:val="000000" w:themeColor="text1"/>
        </w:rPr>
        <w:t xml:space="preserve"> 20.2.50 NMAC.</w:t>
      </w:r>
    </w:p>
    <w:p w14:paraId="52E0DBC2" w14:textId="3E624228" w:rsidR="00105135" w:rsidRDefault="00105135" w:rsidP="00E529BF">
      <w:pPr>
        <w:pStyle w:val="Heading2"/>
        <w:keepNext/>
      </w:pPr>
      <w:bookmarkStart w:id="12" w:name="_Toc93581890"/>
      <w:r w:rsidRPr="00105135">
        <w:lastRenderedPageBreak/>
        <w:t xml:space="preserve">20.2.50.111 </w:t>
      </w:r>
      <w:r w:rsidR="001E7116">
        <w:t xml:space="preserve">NMAC </w:t>
      </w:r>
      <w:r w:rsidRPr="00105135">
        <w:t>Applicability</w:t>
      </w:r>
      <w:bookmarkEnd w:id="12"/>
    </w:p>
    <w:p w14:paraId="24EF94F4" w14:textId="3F335017" w:rsidR="00C0786B" w:rsidRDefault="00C0786B" w:rsidP="00E529BF">
      <w:pPr>
        <w:pStyle w:val="ListParagraph"/>
        <w:keepNext/>
        <w:numPr>
          <w:ilvl w:val="0"/>
          <w:numId w:val="2"/>
        </w:numPr>
        <w:spacing w:after="0" w:line="480" w:lineRule="auto"/>
        <w:ind w:left="0" w:firstLine="720"/>
        <w:jc w:val="both"/>
      </w:pPr>
      <w:r>
        <w:t xml:space="preserve">NMED originally proposed a requirement in Section 111 </w:t>
      </w:r>
      <w:r w:rsidR="00341031">
        <w:t xml:space="preserve">that </w:t>
      </w:r>
      <w:r>
        <w:t>a calculation of the potential to emit for sources subject to Part 50</w:t>
      </w:r>
      <w:r w:rsidR="00053AE4">
        <w:t xml:space="preserve"> be certified by a qualified professional engineer</w:t>
      </w:r>
      <w:r>
        <w:t>.</w:t>
      </w:r>
      <w:r w:rsidR="00352868">
        <w:t xml:space="preserve">  Petition for Regulatory Change, at 11, May 6, 2021.</w:t>
      </w:r>
    </w:p>
    <w:p w14:paraId="794A97DD" w14:textId="31BAEE52" w:rsidR="00677A00" w:rsidRDefault="00677A00" w:rsidP="00C0786B">
      <w:pPr>
        <w:pStyle w:val="ListParagraph"/>
        <w:numPr>
          <w:ilvl w:val="0"/>
          <w:numId w:val="2"/>
        </w:numPr>
        <w:spacing w:after="0" w:line="480" w:lineRule="auto"/>
        <w:ind w:left="0" w:firstLine="720"/>
        <w:jc w:val="both"/>
      </w:pPr>
      <w:r>
        <w:t xml:space="preserve">NMED explained </w:t>
      </w:r>
      <w:r w:rsidR="001E7116">
        <w:t>that requiring</w:t>
      </w:r>
      <w:r>
        <w:t xml:space="preserve"> a professional engineer to certify calculations </w:t>
      </w:r>
      <w:r w:rsidR="002D79D9">
        <w:t>“is critical to ensuring the potential air emissions from equipment and processes are properly calculat</w:t>
      </w:r>
      <w:r w:rsidR="00584E8D">
        <w:t>ed</w:t>
      </w:r>
      <w:r w:rsidR="002D79D9">
        <w:t xml:space="preserve"> and representative of the </w:t>
      </w:r>
      <w:proofErr w:type="gramStart"/>
      <w:r w:rsidR="002D79D9">
        <w:t>source,</w:t>
      </w:r>
      <w:r w:rsidR="005C793C">
        <w:t xml:space="preserve"> </w:t>
      </w:r>
      <w:r w:rsidR="002D79D9">
        <w:t>and</w:t>
      </w:r>
      <w:proofErr w:type="gramEnd"/>
      <w:r w:rsidR="002D79D9">
        <w:t xml:space="preserve"> present a true and accurate representation of the source’s potential emissions.”  </w:t>
      </w:r>
      <w:r w:rsidR="002D79D9">
        <w:rPr>
          <w:b/>
          <w:bCs/>
        </w:rPr>
        <w:t>NMED Ex. 32</w:t>
      </w:r>
      <w:r w:rsidR="002D79D9">
        <w:t xml:space="preserve"> at 24 (</w:t>
      </w:r>
      <w:r w:rsidR="00160057">
        <w:t>Bisbey-Kuehn</w:t>
      </w:r>
      <w:r w:rsidR="002D79D9">
        <w:t>/Palmer Direct).  NMED expresse</w:t>
      </w:r>
      <w:r w:rsidR="002F1F6B">
        <w:t>d</w:t>
      </w:r>
      <w:r w:rsidR="002D79D9">
        <w:t xml:space="preserve"> reservation that without a professional engineer to certify the calculations, the potential emissions could be calculated incorrectly</w:t>
      </w:r>
      <w:r w:rsidR="00E32EAA">
        <w:t>,</w:t>
      </w:r>
      <w:r w:rsidR="002D79D9">
        <w:t xml:space="preserve"> which has the consequence of leaving equipment out of Part 50.  </w:t>
      </w:r>
      <w:r w:rsidR="002D79D9" w:rsidRPr="005C793C">
        <w:rPr>
          <w:b/>
          <w:bCs/>
          <w:i/>
          <w:iCs/>
        </w:rPr>
        <w:t>Id.</w:t>
      </w:r>
      <w:r w:rsidR="002D79D9">
        <w:t xml:space="preserve"> </w:t>
      </w:r>
    </w:p>
    <w:p w14:paraId="3931E17D" w14:textId="3B1BA0E1" w:rsidR="00D261F2" w:rsidRDefault="00D261F2" w:rsidP="00C0786B">
      <w:pPr>
        <w:pStyle w:val="ListParagraph"/>
        <w:numPr>
          <w:ilvl w:val="0"/>
          <w:numId w:val="2"/>
        </w:numPr>
        <w:spacing w:after="0" w:line="480" w:lineRule="auto"/>
        <w:ind w:left="0" w:firstLine="720"/>
        <w:jc w:val="both"/>
      </w:pPr>
      <w:r>
        <w:t xml:space="preserve">IPANM opposed this requirement noting that certification by a professional engineer is unnecessary and burdensome on small producers.  </w:t>
      </w:r>
      <w:r>
        <w:rPr>
          <w:b/>
          <w:bCs/>
        </w:rPr>
        <w:t>IPANM Ex. 2</w:t>
      </w:r>
      <w:r>
        <w:t xml:space="preserve"> at 6 (Davis Direct)</w:t>
      </w:r>
      <w:r w:rsidR="00C60A1D">
        <w:t xml:space="preserve">; </w:t>
      </w:r>
      <w:r w:rsidR="00C60A1D">
        <w:rPr>
          <w:b/>
          <w:bCs/>
        </w:rPr>
        <w:t>IPANM Ex. 10</w:t>
      </w:r>
      <w:r w:rsidR="00C60A1D">
        <w:t xml:space="preserve"> at 8 (Davis Rebuttal)</w:t>
      </w:r>
      <w:r>
        <w:t xml:space="preserve">.  The New Mexico Board of Licensure for Professional Engineers and Professional Surveyors </w:t>
      </w:r>
      <w:r w:rsidR="00341031">
        <w:t>exempts</w:t>
      </w:r>
      <w:r>
        <w:t xml:space="preserve"> in-house engineers who perform “only the engineering services involved in the operation of the business entity’s business” from the requirements of the Engineering and Surveying Practice Act.  </w:t>
      </w:r>
      <w:r>
        <w:rPr>
          <w:b/>
          <w:bCs/>
        </w:rPr>
        <w:t>IPANM Ex. 2</w:t>
      </w:r>
      <w:r>
        <w:t xml:space="preserve"> at 6 (Davis Direct).</w:t>
      </w:r>
    </w:p>
    <w:p w14:paraId="2C5A2818" w14:textId="69F222C5" w:rsidR="00762BA6" w:rsidRDefault="00762BA6" w:rsidP="00C0786B">
      <w:pPr>
        <w:pStyle w:val="ListParagraph"/>
        <w:numPr>
          <w:ilvl w:val="0"/>
          <w:numId w:val="2"/>
        </w:numPr>
        <w:spacing w:after="0" w:line="480" w:lineRule="auto"/>
        <w:ind w:left="0" w:firstLine="720"/>
        <w:jc w:val="both"/>
      </w:pPr>
      <w:r>
        <w:t>NMOGA also opposed this requirement</w:t>
      </w:r>
      <w:r w:rsidR="006D7452">
        <w:t>,</w:t>
      </w:r>
      <w:r>
        <w:t xml:space="preserve"> noting that not all registered professional engineers would have the necessary background or specialized oilfield knowledge to be able to complete these calculations.  </w:t>
      </w:r>
      <w:r>
        <w:rPr>
          <w:b/>
          <w:bCs/>
        </w:rPr>
        <w:t>NMOGA Appendix A1</w:t>
      </w:r>
      <w:r>
        <w:t xml:space="preserve"> at 14 (Smitherman Direct).  </w:t>
      </w:r>
      <w:r w:rsidR="006D7452">
        <w:t>Mr. Smitherman</w:t>
      </w:r>
      <w:r>
        <w:t xml:space="preserve"> highlight</w:t>
      </w:r>
      <w:r w:rsidR="002F1F6B">
        <w:t>ed</w:t>
      </w:r>
      <w:r>
        <w:t xml:space="preserve"> that a properly trained and experienced company employee may have a significantly better working knowledge of a piece of equipment than a professional engineer.  </w:t>
      </w:r>
      <w:r w:rsidRPr="005C793C">
        <w:rPr>
          <w:b/>
          <w:bCs/>
          <w:i/>
          <w:iCs/>
        </w:rPr>
        <w:t>Id.</w:t>
      </w:r>
      <w:r>
        <w:t xml:space="preserve">  Finally, </w:t>
      </w:r>
      <w:r w:rsidR="006D7452">
        <w:t>Mr. Smitherman</w:t>
      </w:r>
      <w:r>
        <w:t xml:space="preserve"> </w:t>
      </w:r>
      <w:r w:rsidR="00E32EAA">
        <w:t>testified</w:t>
      </w:r>
      <w:r>
        <w:t xml:space="preserve"> that the need to use a registered professional engineer to certify calculations </w:t>
      </w:r>
      <w:r w:rsidR="006D7452">
        <w:lastRenderedPageBreak/>
        <w:t xml:space="preserve">would </w:t>
      </w:r>
      <w:r>
        <w:t xml:space="preserve">create a human resource bottleneck that </w:t>
      </w:r>
      <w:r w:rsidR="006D7452">
        <w:t xml:space="preserve">will </w:t>
      </w:r>
      <w:r w:rsidR="002F1F6B">
        <w:t>result in</w:t>
      </w:r>
      <w:r>
        <w:t xml:space="preserve"> additional costs of implementation of the rule without a discernable benefit.  </w:t>
      </w:r>
      <w:r w:rsidRPr="005C793C">
        <w:rPr>
          <w:b/>
          <w:bCs/>
          <w:i/>
          <w:iCs/>
        </w:rPr>
        <w:t>Id.</w:t>
      </w:r>
      <w:r>
        <w:rPr>
          <w:i/>
          <w:iCs/>
        </w:rPr>
        <w:t xml:space="preserve"> </w:t>
      </w:r>
      <w:r>
        <w:t>at 14-15.</w:t>
      </w:r>
    </w:p>
    <w:p w14:paraId="37AE53C8" w14:textId="3564A40A" w:rsidR="007F026B" w:rsidRDefault="007F026B" w:rsidP="00C0786B">
      <w:pPr>
        <w:pStyle w:val="ListParagraph"/>
        <w:numPr>
          <w:ilvl w:val="0"/>
          <w:numId w:val="2"/>
        </w:numPr>
        <w:spacing w:after="0" w:line="480" w:lineRule="auto"/>
        <w:ind w:left="0" w:firstLine="720"/>
        <w:jc w:val="both"/>
      </w:pPr>
      <w:r>
        <w:t>Oxy highlight</w:t>
      </w:r>
      <w:r w:rsidR="002F1F6B">
        <w:t>ed</w:t>
      </w:r>
      <w:r>
        <w:t xml:space="preserve"> similar concerns as NMOGA and IPANM and additionally describe</w:t>
      </w:r>
      <w:r w:rsidR="006D7452">
        <w:t>d</w:t>
      </w:r>
      <w:r>
        <w:t xml:space="preserve"> how using an in-house engineer would still meet the goals of Section </w:t>
      </w:r>
      <w:proofErr w:type="gramStart"/>
      <w:r>
        <w:t>111, but</w:t>
      </w:r>
      <w:proofErr w:type="gramEnd"/>
      <w:r>
        <w:t xml:space="preserve"> would lighten the financial burden that would be required if hiring a professional engineer was necessary.  </w:t>
      </w:r>
      <w:r>
        <w:rPr>
          <w:b/>
          <w:bCs/>
        </w:rPr>
        <w:t>Oxy Ex. 2</w:t>
      </w:r>
      <w:r>
        <w:t xml:space="preserve"> at 20 (Holderman Direct).</w:t>
      </w:r>
    </w:p>
    <w:p w14:paraId="4A32B74F" w14:textId="60CDC912" w:rsidR="00D261F2" w:rsidRDefault="00D261F2" w:rsidP="00C0786B">
      <w:pPr>
        <w:pStyle w:val="ListParagraph"/>
        <w:numPr>
          <w:ilvl w:val="0"/>
          <w:numId w:val="2"/>
        </w:numPr>
        <w:spacing w:after="0" w:line="480" w:lineRule="auto"/>
        <w:ind w:left="0" w:firstLine="720"/>
        <w:jc w:val="both"/>
      </w:pPr>
      <w:r>
        <w:t xml:space="preserve">NMED recognized the burden this </w:t>
      </w:r>
      <w:r w:rsidR="00584E8D">
        <w:t xml:space="preserve">requirement </w:t>
      </w:r>
      <w:r>
        <w:t xml:space="preserve">could create and amended </w:t>
      </w:r>
      <w:r w:rsidR="006D7452">
        <w:t>its proposal</w:t>
      </w:r>
      <w:r>
        <w:t xml:space="preserve"> to also allow for an </w:t>
      </w:r>
      <w:r w:rsidR="00FD2516">
        <w:t xml:space="preserve">“inhouse engineer with expertise in the operation of oil and gas equipment, vapor control systems, and pressurized liquid samples” to certify the required potential to emit calculations.  </w:t>
      </w:r>
      <w:r w:rsidR="00FD2516">
        <w:rPr>
          <w:b/>
          <w:bCs/>
        </w:rPr>
        <w:t>NMED Rebuttal Ex. 2</w:t>
      </w:r>
      <w:r w:rsidR="00FD2516">
        <w:t xml:space="preserve"> at 5 (Proposed 20.2.50 NMAC – Sept. 7, 2021).</w:t>
      </w:r>
    </w:p>
    <w:p w14:paraId="4E49032E" w14:textId="1800D7F6" w:rsidR="00044FBD" w:rsidRDefault="00044FBD" w:rsidP="00C0786B">
      <w:pPr>
        <w:pStyle w:val="ListParagraph"/>
        <w:numPr>
          <w:ilvl w:val="0"/>
          <w:numId w:val="2"/>
        </w:numPr>
        <w:spacing w:after="0" w:line="480" w:lineRule="auto"/>
        <w:ind w:left="0" w:firstLine="720"/>
        <w:jc w:val="both"/>
        <w:rPr>
          <w:color w:val="000000" w:themeColor="text1"/>
        </w:rPr>
      </w:pPr>
      <w:r>
        <w:rPr>
          <w:color w:val="000000" w:themeColor="text1"/>
        </w:rPr>
        <w:t xml:space="preserve">At the hearing, </w:t>
      </w:r>
      <w:r w:rsidRPr="00044FBD">
        <w:rPr>
          <w:color w:val="000000" w:themeColor="text1"/>
        </w:rPr>
        <w:t>NMED</w:t>
      </w:r>
      <w:r>
        <w:rPr>
          <w:color w:val="000000" w:themeColor="text1"/>
        </w:rPr>
        <w:t xml:space="preserve"> testified that it was concerned about the </w:t>
      </w:r>
      <w:r w:rsidR="006A0784">
        <w:rPr>
          <w:color w:val="000000" w:themeColor="text1"/>
        </w:rPr>
        <w:t xml:space="preserve">necessary </w:t>
      </w:r>
      <w:r>
        <w:rPr>
          <w:color w:val="000000" w:themeColor="text1"/>
        </w:rPr>
        <w:t xml:space="preserve">qualifications </w:t>
      </w:r>
      <w:r w:rsidR="006A0784">
        <w:rPr>
          <w:color w:val="000000" w:themeColor="text1"/>
        </w:rPr>
        <w:t>required for</w:t>
      </w:r>
      <w:r>
        <w:rPr>
          <w:color w:val="000000" w:themeColor="text1"/>
        </w:rPr>
        <w:t xml:space="preserve"> doing </w:t>
      </w:r>
      <w:r w:rsidR="006A0784">
        <w:rPr>
          <w:color w:val="000000" w:themeColor="text1"/>
        </w:rPr>
        <w:t xml:space="preserve">defensible </w:t>
      </w:r>
      <w:r>
        <w:rPr>
          <w:color w:val="000000" w:themeColor="text1"/>
        </w:rPr>
        <w:t>PTE calculations.  Tr. Vol. 4, 1158:1-6 (</w:t>
      </w:r>
      <w:r w:rsidR="00160057">
        <w:rPr>
          <w:color w:val="000000" w:themeColor="text1"/>
        </w:rPr>
        <w:t>Bisbey-Kuehn</w:t>
      </w:r>
      <w:r>
        <w:rPr>
          <w:color w:val="000000" w:themeColor="text1"/>
        </w:rPr>
        <w:t>).  NMED believe</w:t>
      </w:r>
      <w:r w:rsidR="002F1F6B">
        <w:rPr>
          <w:color w:val="000000" w:themeColor="text1"/>
        </w:rPr>
        <w:t>d</w:t>
      </w:r>
      <w:r>
        <w:rPr>
          <w:color w:val="000000" w:themeColor="text1"/>
        </w:rPr>
        <w:t xml:space="preserve"> its revisions to include an option to use an in-house engineer satisfies the concerns raised by the parties.  Tr. Vol. 4, 1157:24-1158:6 (</w:t>
      </w:r>
      <w:r w:rsidR="006D7452">
        <w:rPr>
          <w:color w:val="000000" w:themeColor="text1"/>
        </w:rPr>
        <w:t>Bisbey-</w:t>
      </w:r>
      <w:r>
        <w:rPr>
          <w:color w:val="000000" w:themeColor="text1"/>
        </w:rPr>
        <w:t>Kuehn).</w:t>
      </w:r>
    </w:p>
    <w:p w14:paraId="6F97C710" w14:textId="0BB735DE" w:rsidR="0043572C" w:rsidRDefault="0043572C" w:rsidP="00C0786B">
      <w:pPr>
        <w:pStyle w:val="ListParagraph"/>
        <w:numPr>
          <w:ilvl w:val="0"/>
          <w:numId w:val="2"/>
        </w:numPr>
        <w:spacing w:after="0" w:line="480" w:lineRule="auto"/>
        <w:ind w:left="0" w:firstLine="720"/>
        <w:jc w:val="both"/>
        <w:rPr>
          <w:color w:val="000000" w:themeColor="text1"/>
        </w:rPr>
      </w:pPr>
      <w:r>
        <w:rPr>
          <w:color w:val="000000" w:themeColor="text1"/>
        </w:rPr>
        <w:t>NMED clarified that it must be a professional engineer or an in-house engineer who would have to certify the calculations and that this would preclude a consultant from being able to certify these calculations.  Tr. Vol. 4, 1161:2-1162:4 (</w:t>
      </w:r>
      <w:r w:rsidR="006D7452">
        <w:rPr>
          <w:color w:val="000000" w:themeColor="text1"/>
        </w:rPr>
        <w:t>Bisbey-Kuehn</w:t>
      </w:r>
      <w:r>
        <w:rPr>
          <w:color w:val="000000" w:themeColor="text1"/>
        </w:rPr>
        <w:t>).</w:t>
      </w:r>
    </w:p>
    <w:p w14:paraId="79A05AE2" w14:textId="45FAD495" w:rsidR="0043572C" w:rsidRDefault="006A657B" w:rsidP="00C0786B">
      <w:pPr>
        <w:pStyle w:val="ListParagraph"/>
        <w:numPr>
          <w:ilvl w:val="0"/>
          <w:numId w:val="2"/>
        </w:numPr>
        <w:spacing w:after="0" w:line="480" w:lineRule="auto"/>
        <w:ind w:left="0" w:firstLine="720"/>
        <w:jc w:val="both"/>
        <w:rPr>
          <w:color w:val="000000" w:themeColor="text1"/>
        </w:rPr>
      </w:pPr>
      <w:r>
        <w:rPr>
          <w:color w:val="000000" w:themeColor="text1"/>
        </w:rPr>
        <w:t>NMOGA testified that it agreed with the changes to allow an alternative to a registered, professional engineer to need to certify the calculations.  Tr. Vol. 4, 1172:5-21 (Smitherman).</w:t>
      </w:r>
    </w:p>
    <w:p w14:paraId="42BA380A" w14:textId="610A43FD" w:rsidR="006A657B" w:rsidRDefault="006A657B" w:rsidP="00C0786B">
      <w:pPr>
        <w:pStyle w:val="ListParagraph"/>
        <w:numPr>
          <w:ilvl w:val="0"/>
          <w:numId w:val="2"/>
        </w:numPr>
        <w:spacing w:after="0" w:line="480" w:lineRule="auto"/>
        <w:ind w:left="0" w:firstLine="720"/>
        <w:jc w:val="both"/>
        <w:rPr>
          <w:color w:val="000000" w:themeColor="text1"/>
        </w:rPr>
      </w:pPr>
      <w:r>
        <w:rPr>
          <w:color w:val="000000" w:themeColor="text1"/>
        </w:rPr>
        <w:t xml:space="preserve">IPANM testified that while </w:t>
      </w:r>
      <w:r w:rsidR="002F1F6B">
        <w:rPr>
          <w:color w:val="000000" w:themeColor="text1"/>
        </w:rPr>
        <w:t>it</w:t>
      </w:r>
      <w:r>
        <w:rPr>
          <w:color w:val="000000" w:themeColor="text1"/>
        </w:rPr>
        <w:t xml:space="preserve"> largely agree</w:t>
      </w:r>
      <w:r w:rsidR="002F1F6B">
        <w:rPr>
          <w:color w:val="000000" w:themeColor="text1"/>
        </w:rPr>
        <w:t>d</w:t>
      </w:r>
      <w:r>
        <w:rPr>
          <w:color w:val="000000" w:themeColor="text1"/>
        </w:rPr>
        <w:t xml:space="preserve"> with NMED’s change to include in-house engineers, </w:t>
      </w:r>
      <w:r w:rsidR="001E7116">
        <w:rPr>
          <w:color w:val="000000" w:themeColor="text1"/>
        </w:rPr>
        <w:t>it</w:t>
      </w:r>
      <w:r>
        <w:rPr>
          <w:color w:val="000000" w:themeColor="text1"/>
        </w:rPr>
        <w:t xml:space="preserve"> still </w:t>
      </w:r>
      <w:r w:rsidR="001E7116">
        <w:rPr>
          <w:color w:val="000000" w:themeColor="text1"/>
        </w:rPr>
        <w:t>had</w:t>
      </w:r>
      <w:r>
        <w:rPr>
          <w:color w:val="000000" w:themeColor="text1"/>
        </w:rPr>
        <w:t xml:space="preserve"> concerns that small companies will </w:t>
      </w:r>
      <w:r w:rsidR="002F1F6B">
        <w:rPr>
          <w:color w:val="000000" w:themeColor="text1"/>
        </w:rPr>
        <w:t xml:space="preserve">need to </w:t>
      </w:r>
      <w:r>
        <w:rPr>
          <w:color w:val="000000" w:themeColor="text1"/>
        </w:rPr>
        <w:t>use an outside consultant because they do not have an in-house engineer.  Tr. Vol. 4, 1183:4-11 (R. Davis).</w:t>
      </w:r>
    </w:p>
    <w:p w14:paraId="5E860791" w14:textId="7369A46C" w:rsidR="006A657B" w:rsidRDefault="006A657B" w:rsidP="00C0786B">
      <w:pPr>
        <w:pStyle w:val="ListParagraph"/>
        <w:numPr>
          <w:ilvl w:val="0"/>
          <w:numId w:val="2"/>
        </w:numPr>
        <w:spacing w:after="0" w:line="480" w:lineRule="auto"/>
        <w:ind w:left="0" w:firstLine="720"/>
        <w:jc w:val="both"/>
        <w:rPr>
          <w:color w:val="000000" w:themeColor="text1"/>
        </w:rPr>
      </w:pPr>
      <w:r>
        <w:rPr>
          <w:color w:val="000000" w:themeColor="text1"/>
        </w:rPr>
        <w:lastRenderedPageBreak/>
        <w:t>IPANM further testified that the regulatory specialist</w:t>
      </w:r>
      <w:r w:rsidR="00F349F4">
        <w:rPr>
          <w:color w:val="000000" w:themeColor="text1"/>
        </w:rPr>
        <w:t xml:space="preserve"> employed by Mr. Davis’s company </w:t>
      </w:r>
      <w:r w:rsidR="001E7116">
        <w:rPr>
          <w:color w:val="000000" w:themeColor="text1"/>
        </w:rPr>
        <w:t xml:space="preserve">was not a professional </w:t>
      </w:r>
      <w:proofErr w:type="gramStart"/>
      <w:r w:rsidR="001E7116">
        <w:rPr>
          <w:color w:val="000000" w:themeColor="text1"/>
        </w:rPr>
        <w:t>engineer, but</w:t>
      </w:r>
      <w:proofErr w:type="gramEnd"/>
      <w:r w:rsidR="001E7116">
        <w:rPr>
          <w:color w:val="000000" w:themeColor="text1"/>
        </w:rPr>
        <w:t xml:space="preserve"> </w:t>
      </w:r>
      <w:r w:rsidR="00F349F4">
        <w:rPr>
          <w:color w:val="000000" w:themeColor="text1"/>
        </w:rPr>
        <w:t>had expertise that NMED was looking for in the certifications of the calculations.  Tr. Vol. 4, 1184:12-20 (R. Davis).  IPANM believe</w:t>
      </w:r>
      <w:r w:rsidR="002F1F6B">
        <w:rPr>
          <w:color w:val="000000" w:themeColor="text1"/>
        </w:rPr>
        <w:t>d</w:t>
      </w:r>
      <w:r w:rsidR="00F349F4">
        <w:rPr>
          <w:color w:val="000000" w:themeColor="text1"/>
        </w:rPr>
        <w:t xml:space="preserve"> </w:t>
      </w:r>
      <w:proofErr w:type="gramStart"/>
      <w:r w:rsidR="00F349F4">
        <w:rPr>
          <w:color w:val="000000" w:themeColor="text1"/>
        </w:rPr>
        <w:t>there  needs</w:t>
      </w:r>
      <w:proofErr w:type="gramEnd"/>
      <w:r w:rsidR="00F349F4">
        <w:rPr>
          <w:color w:val="000000" w:themeColor="text1"/>
        </w:rPr>
        <w:t xml:space="preserve"> to be </w:t>
      </w:r>
      <w:r w:rsidR="002F1F6B">
        <w:rPr>
          <w:color w:val="000000" w:themeColor="text1"/>
        </w:rPr>
        <w:t xml:space="preserve">additional </w:t>
      </w:r>
      <w:r w:rsidR="00F349F4">
        <w:rPr>
          <w:color w:val="000000" w:themeColor="text1"/>
        </w:rPr>
        <w:t>flexibility in the rule to allow for a regulatory specialist to handle the PTE certification.  Tr. Vol. 4, 1184:15-20 (R. Davis).</w:t>
      </w:r>
    </w:p>
    <w:p w14:paraId="246ECFA5" w14:textId="37414E1D" w:rsidR="00026C4E" w:rsidRPr="00044FBD" w:rsidRDefault="00026C4E" w:rsidP="00C0786B">
      <w:pPr>
        <w:pStyle w:val="ListParagraph"/>
        <w:numPr>
          <w:ilvl w:val="0"/>
          <w:numId w:val="2"/>
        </w:numPr>
        <w:spacing w:after="0" w:line="480" w:lineRule="auto"/>
        <w:ind w:left="0" w:firstLine="720"/>
        <w:jc w:val="both"/>
        <w:rPr>
          <w:color w:val="000000" w:themeColor="text1"/>
        </w:rPr>
      </w:pPr>
      <w:r>
        <w:rPr>
          <w:color w:val="000000" w:themeColor="text1"/>
        </w:rPr>
        <w:t>Oxy testified that it supports NMED’s changes to the rule to allow for an in-house engineer to certify PTE calculations, but that NMED should allow for consideration of actual emissions as an alternative to a PTE.  Tr. Vol. 4, 1196:19-1197:5 (Holderm</w:t>
      </w:r>
      <w:r w:rsidR="00B44B66">
        <w:rPr>
          <w:color w:val="000000" w:themeColor="text1"/>
        </w:rPr>
        <w:t>a</w:t>
      </w:r>
      <w:r>
        <w:rPr>
          <w:color w:val="000000" w:themeColor="text1"/>
        </w:rPr>
        <w:t>n).</w:t>
      </w:r>
    </w:p>
    <w:p w14:paraId="5ACBC423" w14:textId="363256BB" w:rsidR="00FD2516" w:rsidRDefault="00FD2516" w:rsidP="00C0786B">
      <w:pPr>
        <w:pStyle w:val="ListParagraph"/>
        <w:numPr>
          <w:ilvl w:val="0"/>
          <w:numId w:val="2"/>
        </w:numPr>
        <w:spacing w:after="0" w:line="480" w:lineRule="auto"/>
        <w:ind w:left="0" w:firstLine="720"/>
        <w:jc w:val="both"/>
      </w:pPr>
      <w:r>
        <w:t xml:space="preserve">The </w:t>
      </w:r>
      <w:r w:rsidR="00571876">
        <w:t>Board</w:t>
      </w:r>
      <w:r>
        <w:t xml:space="preserve"> finds that allowing an in</w:t>
      </w:r>
      <w:r w:rsidR="00C60A1D">
        <w:t>-</w:t>
      </w:r>
      <w:r>
        <w:t xml:space="preserve">house engineer </w:t>
      </w:r>
      <w:r w:rsidR="005F0713">
        <w:t xml:space="preserve">or similarly qualified environmental </w:t>
      </w:r>
      <w:r w:rsidR="00D71C83">
        <w:t>professional</w:t>
      </w:r>
      <w:r w:rsidR="005F0713">
        <w:t xml:space="preserve"> </w:t>
      </w:r>
      <w:r>
        <w:t xml:space="preserve">to certify potential to emit calculations is an appropriate addition to the rule and is consistent with </w:t>
      </w:r>
      <w:r w:rsidR="00584E8D">
        <w:t>NMED’s goal to have PTE’s properly calculated</w:t>
      </w:r>
      <w:r>
        <w:t xml:space="preserve">. </w:t>
      </w:r>
    </w:p>
    <w:p w14:paraId="132CC851" w14:textId="1CCE1596" w:rsidR="0065354F" w:rsidRDefault="0065354F" w:rsidP="00C0786B">
      <w:pPr>
        <w:pStyle w:val="ListParagraph"/>
        <w:numPr>
          <w:ilvl w:val="0"/>
          <w:numId w:val="2"/>
        </w:numPr>
        <w:spacing w:after="0" w:line="480" w:lineRule="auto"/>
        <w:ind w:left="0" w:firstLine="720"/>
        <w:jc w:val="both"/>
      </w:pPr>
      <w:r>
        <w:t>Further, the Board concludes that IPANM’s recommendation</w:t>
      </w:r>
      <w:r w:rsidR="006A0784">
        <w:t>,</w:t>
      </w:r>
      <w:r>
        <w:t xml:space="preserve"> as reflected in the Proposed Final Rule submitted by IPANM to amend language to 20.2.50.112 NMAC</w:t>
      </w:r>
      <w:r w:rsidR="006A0784">
        <w:t>,</w:t>
      </w:r>
      <w:r>
        <w:t xml:space="preserve"> is supported by the weight of the evidence and will serve the Board’s goal of having accurate PTE calculations.</w:t>
      </w:r>
    </w:p>
    <w:p w14:paraId="6AC28518" w14:textId="4CAEA65E" w:rsidR="00E52543" w:rsidRDefault="00E52543" w:rsidP="00A61B8B">
      <w:pPr>
        <w:pStyle w:val="Heading2"/>
      </w:pPr>
      <w:bookmarkStart w:id="13" w:name="_Toc93581891"/>
      <w:r>
        <w:t xml:space="preserve">20.2.50.112 </w:t>
      </w:r>
      <w:r w:rsidR="00D71C83">
        <w:t xml:space="preserve">NMAC </w:t>
      </w:r>
      <w:r>
        <w:t>General Provisions</w:t>
      </w:r>
      <w:bookmarkEnd w:id="13"/>
    </w:p>
    <w:p w14:paraId="2FCD4E4E" w14:textId="3DC694FD" w:rsidR="00BD5E97" w:rsidRDefault="00A61B8B" w:rsidP="00BD5E97">
      <w:pPr>
        <w:pStyle w:val="Heading3"/>
        <w:numPr>
          <w:ilvl w:val="0"/>
          <w:numId w:val="5"/>
        </w:numPr>
        <w:ind w:left="1440" w:hanging="720"/>
      </w:pPr>
      <w:bookmarkStart w:id="14" w:name="_Toc93581892"/>
      <w:r w:rsidRPr="00A61B8B">
        <w:t>General Provisions Comments</w:t>
      </w:r>
      <w:bookmarkEnd w:id="14"/>
    </w:p>
    <w:p w14:paraId="064E9444" w14:textId="77777777" w:rsidR="00CF126B" w:rsidRPr="00CF126B" w:rsidRDefault="00CF126B" w:rsidP="00A747C2">
      <w:pPr>
        <w:spacing w:after="0"/>
        <w:contextualSpacing/>
      </w:pPr>
    </w:p>
    <w:p w14:paraId="20F4AE7F" w14:textId="113BD8E3" w:rsidR="00A61B8B" w:rsidRDefault="00572C37" w:rsidP="00BD5E97">
      <w:pPr>
        <w:pStyle w:val="ListParagraph"/>
        <w:numPr>
          <w:ilvl w:val="0"/>
          <w:numId w:val="2"/>
        </w:numPr>
        <w:spacing w:line="480" w:lineRule="auto"/>
        <w:ind w:left="0" w:firstLine="720"/>
        <w:jc w:val="both"/>
      </w:pPr>
      <w:r>
        <w:t xml:space="preserve">NMED proposed a requirement in Section 112 </w:t>
      </w:r>
      <w:r w:rsidR="006A223C">
        <w:t xml:space="preserve">that owners and operators install an Equipment Monitoring Tag (“EMT”) on certain equipment.  </w:t>
      </w:r>
      <w:r w:rsidR="006A223C" w:rsidRPr="006A223C">
        <w:rPr>
          <w:b/>
          <w:bCs/>
        </w:rPr>
        <w:t>NMED Ex. 32</w:t>
      </w:r>
      <w:r w:rsidR="006A223C">
        <w:t xml:space="preserve"> at 25:17-18 (</w:t>
      </w:r>
      <w:r w:rsidR="006D7452">
        <w:t>Bisbey-Kuehn</w:t>
      </w:r>
      <w:r w:rsidR="006A223C">
        <w:t xml:space="preserve">/Palmer Direct). </w:t>
      </w:r>
      <w:r w:rsidR="00BD5E97">
        <w:t xml:space="preserve">This proposal is a subset of Section 112’s </w:t>
      </w:r>
      <w:r w:rsidR="00941088">
        <w:t>proposed</w:t>
      </w:r>
      <w:r w:rsidR="00BD5E97">
        <w:t xml:space="preserve"> establish</w:t>
      </w:r>
      <w:r w:rsidR="00941088">
        <w:t>ment of</w:t>
      </w:r>
      <w:r w:rsidR="00BD5E97">
        <w:t xml:space="preserve"> a universal set of requirements applicable to all owners and operators of sources of emissions subject to emissions standards and other requirements of Part 50.  </w:t>
      </w:r>
      <w:r w:rsidR="00BD5E97" w:rsidRPr="005F3984">
        <w:rPr>
          <w:b/>
          <w:bCs/>
          <w:i/>
          <w:iCs/>
        </w:rPr>
        <w:t>Id</w:t>
      </w:r>
      <w:r w:rsidR="00BD5E97">
        <w:t>. at 24</w:t>
      </w:r>
      <w:r w:rsidR="005F3984">
        <w:t xml:space="preserve">:21-23.  Section 112(A)(3)-(9) outlines the equipment data and monitoring information that is required to maintained for each source subject to Part 50.  </w:t>
      </w:r>
      <w:r w:rsidR="005F3984" w:rsidRPr="005F3984">
        <w:rPr>
          <w:b/>
          <w:bCs/>
          <w:i/>
          <w:iCs/>
        </w:rPr>
        <w:t>Id</w:t>
      </w:r>
      <w:r w:rsidR="005F3984">
        <w:t xml:space="preserve">. at 25:20-22.  </w:t>
      </w:r>
      <w:r w:rsidR="006A223C">
        <w:t xml:space="preserve">An EMT interacts with a company’s equipment database </w:t>
      </w:r>
      <w:r w:rsidR="006A223C">
        <w:lastRenderedPageBreak/>
        <w:t xml:space="preserve">and is employed to track equipment information and compliance monitoring events and data. </w:t>
      </w:r>
      <w:r w:rsidR="006A223C" w:rsidRPr="005F3984">
        <w:rPr>
          <w:b/>
          <w:bCs/>
          <w:i/>
          <w:iCs/>
        </w:rPr>
        <w:t>Id</w:t>
      </w:r>
      <w:r w:rsidR="006A223C">
        <w:t>. at 25:19-20. Section 112 would require scanning before and after a monitoring event</w:t>
      </w:r>
      <w:r w:rsidR="00BD5E97">
        <w:t xml:space="preserve"> and owners and operators to maintain and submit certain data to comply with the reporting requirements. </w:t>
      </w:r>
      <w:r w:rsidR="00BD5E97" w:rsidRPr="005F3984">
        <w:rPr>
          <w:b/>
          <w:bCs/>
          <w:i/>
          <w:iCs/>
        </w:rPr>
        <w:t>See id</w:t>
      </w:r>
      <w:r w:rsidR="00BD5E97">
        <w:t xml:space="preserve">. at 25:22-26:4. </w:t>
      </w:r>
    </w:p>
    <w:p w14:paraId="66014E96" w14:textId="6B4F7B17" w:rsidR="005F3984" w:rsidRDefault="00A747C2" w:rsidP="00BD5E97">
      <w:pPr>
        <w:pStyle w:val="ListParagraph"/>
        <w:numPr>
          <w:ilvl w:val="0"/>
          <w:numId w:val="2"/>
        </w:numPr>
        <w:spacing w:line="480" w:lineRule="auto"/>
        <w:ind w:left="0" w:firstLine="720"/>
        <w:jc w:val="both"/>
      </w:pPr>
      <w:r>
        <w:t>NMED</w:t>
      </w:r>
      <w:r w:rsidR="005F3984">
        <w:t xml:space="preserve"> reason</w:t>
      </w:r>
      <w:r w:rsidR="002D553D">
        <w:t>ed</w:t>
      </w:r>
      <w:r w:rsidR="005F3984">
        <w:t xml:space="preserve"> that </w:t>
      </w:r>
      <w:r w:rsidR="0041608A">
        <w:t xml:space="preserve">the EMT requirement </w:t>
      </w:r>
      <w:r w:rsidR="005F3984">
        <w:t xml:space="preserve">will improve its ability to receive, review, and analyze compliance monitoring data for subject sources and will help improve and increase the public’s confidence in compliance monitoring. </w:t>
      </w:r>
      <w:r w:rsidR="005F3984" w:rsidRPr="005F3984">
        <w:rPr>
          <w:b/>
          <w:bCs/>
        </w:rPr>
        <w:t>NMED Ex. 32</w:t>
      </w:r>
      <w:r w:rsidR="005F3984" w:rsidRPr="005F3984">
        <w:t xml:space="preserve"> at </w:t>
      </w:r>
      <w:r w:rsidR="005F3984">
        <w:t xml:space="preserve">26:10-13 </w:t>
      </w:r>
      <w:r w:rsidR="005F3984" w:rsidRPr="005F3984">
        <w:t>(</w:t>
      </w:r>
      <w:r w:rsidR="006D7452">
        <w:t>Bisbey-Kuehn</w:t>
      </w:r>
      <w:r w:rsidR="005F3984" w:rsidRPr="005F3984">
        <w:t>/Palmer Direct)</w:t>
      </w:r>
      <w:r w:rsidR="005F3984">
        <w:t xml:space="preserve">. </w:t>
      </w:r>
    </w:p>
    <w:p w14:paraId="6913A3CA" w14:textId="07E7A5E5" w:rsidR="00CF126B" w:rsidRDefault="00CF126B" w:rsidP="00BD5E97">
      <w:pPr>
        <w:pStyle w:val="ListParagraph"/>
        <w:numPr>
          <w:ilvl w:val="0"/>
          <w:numId w:val="2"/>
        </w:numPr>
        <w:spacing w:line="480" w:lineRule="auto"/>
        <w:ind w:left="0" w:firstLine="720"/>
        <w:jc w:val="both"/>
      </w:pPr>
      <w:r>
        <w:t>Section 112(A)(1</w:t>
      </w:r>
      <w:r w:rsidR="005F0B96">
        <w:t>0</w:t>
      </w:r>
      <w:r>
        <w:t xml:space="preserve">) requires owners and operators, upon request from the Department, to retain a third party at </w:t>
      </w:r>
      <w:r w:rsidR="00D71C83">
        <w:t>the owners’ or operators’</w:t>
      </w:r>
      <w:r>
        <w:t xml:space="preserve"> expense to verify any information collected, reported, or recorded pursuant to Part 50. </w:t>
      </w:r>
      <w:r w:rsidRPr="005F3984">
        <w:rPr>
          <w:b/>
          <w:bCs/>
        </w:rPr>
        <w:t>NMED Ex. 32</w:t>
      </w:r>
      <w:r w:rsidRPr="005F3984">
        <w:t xml:space="preserve"> at </w:t>
      </w:r>
      <w:r>
        <w:t xml:space="preserve">26:16-18 </w:t>
      </w:r>
      <w:r w:rsidRPr="005F3984">
        <w:t>(</w:t>
      </w:r>
      <w:r w:rsidR="006D7452">
        <w:t>Bisbey-Kuehn</w:t>
      </w:r>
      <w:r w:rsidRPr="005F3984">
        <w:t>/Palmer Direct</w:t>
      </w:r>
      <w:r>
        <w:t xml:space="preserve">).  The Department </w:t>
      </w:r>
      <w:r w:rsidR="00D71C83">
        <w:t>stated</w:t>
      </w:r>
      <w:r>
        <w:t xml:space="preserve"> that third-party verification will conserve the Department’s time and resources</w:t>
      </w:r>
      <w:r w:rsidR="00C970AC">
        <w:t xml:space="preserve"> while also improving public confidence.</w:t>
      </w:r>
      <w:r w:rsidR="00E7548C">
        <w:t xml:space="preserve"> </w:t>
      </w:r>
      <w:r w:rsidR="00C970AC">
        <w:t xml:space="preserve"> </w:t>
      </w:r>
      <w:r w:rsidR="00C970AC" w:rsidRPr="00C970AC">
        <w:rPr>
          <w:b/>
          <w:bCs/>
          <w:i/>
          <w:iCs/>
        </w:rPr>
        <w:t>Id</w:t>
      </w:r>
      <w:r w:rsidR="00C970AC">
        <w:t xml:space="preserve">. at 27:1-8. </w:t>
      </w:r>
    </w:p>
    <w:p w14:paraId="011B8D36" w14:textId="37A4BB0B" w:rsidR="00C970AC" w:rsidRDefault="00D71C83" w:rsidP="00BD5E97">
      <w:pPr>
        <w:pStyle w:val="ListParagraph"/>
        <w:numPr>
          <w:ilvl w:val="0"/>
          <w:numId w:val="2"/>
        </w:numPr>
        <w:spacing w:line="480" w:lineRule="auto"/>
        <w:ind w:left="0" w:firstLine="720"/>
        <w:jc w:val="both"/>
      </w:pPr>
      <w:r>
        <w:t xml:space="preserve">Proposed </w:t>
      </w:r>
      <w:r w:rsidR="00C970AC">
        <w:t xml:space="preserve">Section 112(B) specifies general monitoring requirements for sources subject to Part 50. </w:t>
      </w:r>
      <w:r w:rsidR="00C970AC" w:rsidRPr="00C970AC">
        <w:rPr>
          <w:b/>
          <w:bCs/>
        </w:rPr>
        <w:t>NMED Ex. 32</w:t>
      </w:r>
      <w:r w:rsidR="00C970AC" w:rsidRPr="00C970AC">
        <w:t xml:space="preserve"> at 2</w:t>
      </w:r>
      <w:r w:rsidR="00C970AC">
        <w:t>7:13-14</w:t>
      </w:r>
      <w:r w:rsidR="00C970AC" w:rsidRPr="00C970AC">
        <w:t xml:space="preserve"> (</w:t>
      </w:r>
      <w:r w:rsidR="006D7452">
        <w:t>Bisbey-Kuehn</w:t>
      </w:r>
      <w:r w:rsidR="00C970AC" w:rsidRPr="00C970AC">
        <w:t>/Palmer Direct).</w:t>
      </w:r>
      <w:r w:rsidR="00C134FE">
        <w:t xml:space="preserve">  More specifically</w:t>
      </w:r>
      <w:r>
        <w:t>,</w:t>
      </w:r>
      <w:r w:rsidR="00C134FE">
        <w:t xml:space="preserve"> Sub</w:t>
      </w:r>
      <w:r w:rsidR="0041608A">
        <w:t>s</w:t>
      </w:r>
      <w:r w:rsidR="00C134FE">
        <w:t xml:space="preserve">ection </w:t>
      </w:r>
      <w:proofErr w:type="gramStart"/>
      <w:r w:rsidR="00C134FE">
        <w:t>B(</w:t>
      </w:r>
      <w:proofErr w:type="gramEnd"/>
      <w:r w:rsidR="00C134FE">
        <w:t xml:space="preserve">3) prescribes </w:t>
      </w:r>
      <w:r w:rsidR="00367B71">
        <w:t>the</w:t>
      </w:r>
      <w:r w:rsidR="00C134FE">
        <w:t xml:space="preserve"> monitoring events for equipment required to have an EMT be initiated and completed by scanning the unit’s EMT. </w:t>
      </w:r>
      <w:r w:rsidR="00C134FE" w:rsidRPr="00C134FE">
        <w:rPr>
          <w:b/>
          <w:bCs/>
          <w:i/>
          <w:iCs/>
        </w:rPr>
        <w:t xml:space="preserve"> Id</w:t>
      </w:r>
      <w:r w:rsidR="00C134FE">
        <w:t xml:space="preserve">. at 29:3-4. </w:t>
      </w:r>
    </w:p>
    <w:p w14:paraId="7EF0D78D" w14:textId="0BE87E4A" w:rsidR="00AC20A9" w:rsidRDefault="00AC20A9" w:rsidP="00BD5E97">
      <w:pPr>
        <w:pStyle w:val="ListParagraph"/>
        <w:numPr>
          <w:ilvl w:val="0"/>
          <w:numId w:val="2"/>
        </w:numPr>
        <w:spacing w:line="480" w:lineRule="auto"/>
        <w:ind w:left="0" w:firstLine="720"/>
        <w:jc w:val="both"/>
      </w:pPr>
      <w:r>
        <w:t>IPANM oppose</w:t>
      </w:r>
      <w:r w:rsidR="00B00FFC">
        <w:t>d</w:t>
      </w:r>
      <w:r>
        <w:t xml:space="preserve"> the requirements in </w:t>
      </w:r>
      <w:r w:rsidR="00367B71">
        <w:t xml:space="preserve">NMED proposed </w:t>
      </w:r>
      <w:r>
        <w:t xml:space="preserve">Section 112(A)(2)-(10) and </w:t>
      </w:r>
      <w:proofErr w:type="gramStart"/>
      <w:r>
        <w:t>B(</w:t>
      </w:r>
      <w:proofErr w:type="gramEnd"/>
      <w:r>
        <w:t xml:space="preserve">3), and any reference to EMT requirements in the remainder of </w:t>
      </w:r>
      <w:r w:rsidR="006E3CBB">
        <w:t xml:space="preserve">Part 50 </w:t>
      </w:r>
      <w:r>
        <w:t>in Sections 113-115, 117-119, and 122-123.</w:t>
      </w:r>
      <w:r w:rsidR="00E7548C">
        <w:t xml:space="preserve"> </w:t>
      </w:r>
      <w:r>
        <w:t xml:space="preserve"> </w:t>
      </w:r>
      <w:r w:rsidRPr="002E1C84">
        <w:rPr>
          <w:b/>
          <w:bCs/>
        </w:rPr>
        <w:t>IPANM Ex. 4</w:t>
      </w:r>
      <w:r>
        <w:t xml:space="preserve"> at</w:t>
      </w:r>
      <w:r w:rsidR="002E1C84">
        <w:t xml:space="preserve"> 2:16-19 and 4:16-21</w:t>
      </w:r>
      <w:r>
        <w:t xml:space="preserve"> (Brown Direct).  </w:t>
      </w:r>
      <w:r w:rsidR="00367B71">
        <w:t>As explained by IPANM, t</w:t>
      </w:r>
      <w:r>
        <w:t xml:space="preserve">he technology challenges and costs, coupled with the lack of any evidence that EMT </w:t>
      </w:r>
      <w:r w:rsidR="002E1C84">
        <w:t xml:space="preserve">will reduce ozone precursor pollutants, does not justify the EMT program </w:t>
      </w:r>
      <w:r w:rsidR="005F0B96">
        <w:t xml:space="preserve">and its derivatives as </w:t>
      </w:r>
      <w:r w:rsidR="002E1C84">
        <w:t xml:space="preserve">part of this </w:t>
      </w:r>
      <w:r w:rsidR="0057555C">
        <w:t>Ozone Rule</w:t>
      </w:r>
      <w:r w:rsidR="002E1C84">
        <w:t xml:space="preserve">. </w:t>
      </w:r>
      <w:r w:rsidR="00E7548C">
        <w:t xml:space="preserve"> </w:t>
      </w:r>
      <w:r w:rsidR="002E1C84" w:rsidRPr="002E1C84">
        <w:rPr>
          <w:b/>
          <w:bCs/>
          <w:i/>
          <w:iCs/>
        </w:rPr>
        <w:t>Id</w:t>
      </w:r>
      <w:r w:rsidR="002E1C84">
        <w:t xml:space="preserve">. at 4:17-19. </w:t>
      </w:r>
    </w:p>
    <w:p w14:paraId="75ADA2C5" w14:textId="36D5BBF2" w:rsidR="00597134" w:rsidRDefault="00597134" w:rsidP="00BD5E97">
      <w:pPr>
        <w:pStyle w:val="ListParagraph"/>
        <w:numPr>
          <w:ilvl w:val="0"/>
          <w:numId w:val="2"/>
        </w:numPr>
        <w:spacing w:line="480" w:lineRule="auto"/>
        <w:ind w:left="0" w:firstLine="720"/>
        <w:jc w:val="both"/>
      </w:pPr>
      <w:r>
        <w:lastRenderedPageBreak/>
        <w:t xml:space="preserve">The three </w:t>
      </w:r>
      <w:r w:rsidR="00AE1D7D">
        <w:t xml:space="preserve">(3) </w:t>
      </w:r>
      <w:r>
        <w:t xml:space="preserve">monitoring options presented </w:t>
      </w:r>
      <w:r w:rsidR="00367B71">
        <w:t xml:space="preserve">by NMED </w:t>
      </w:r>
      <w:r>
        <w:t xml:space="preserve">require frequent monitoring, and while they have been used in refineries and major facilities, IPANM is unaware of these uses in unmanned dispersed sites in an upstream oil and gas region.  </w:t>
      </w:r>
      <w:r w:rsidRPr="002E1C84">
        <w:rPr>
          <w:b/>
          <w:bCs/>
        </w:rPr>
        <w:t>IPANM Ex. 4</w:t>
      </w:r>
      <w:r>
        <w:t xml:space="preserve"> at 5:7-22 (Brown Direct).  Small businesses do not have the financial resources to implement these monitoring functions, and nor are those monitoring functions practical in conditions where upstream oil and gas activities occur. </w:t>
      </w:r>
      <w:r w:rsidRPr="00B63356">
        <w:rPr>
          <w:b/>
          <w:bCs/>
          <w:i/>
          <w:iCs/>
        </w:rPr>
        <w:t>Id</w:t>
      </w:r>
      <w:r>
        <w:t xml:space="preserve">. </w:t>
      </w:r>
    </w:p>
    <w:p w14:paraId="24AFA9FB" w14:textId="418CF012" w:rsidR="00597134" w:rsidRDefault="00597134" w:rsidP="00BD5E97">
      <w:pPr>
        <w:pStyle w:val="ListParagraph"/>
        <w:numPr>
          <w:ilvl w:val="0"/>
          <w:numId w:val="2"/>
        </w:numPr>
        <w:spacing w:line="480" w:lineRule="auto"/>
        <w:ind w:left="0" w:firstLine="720"/>
        <w:jc w:val="both"/>
      </w:pPr>
      <w:r>
        <w:t>In addition, IPANM engaged a consultant that calculated the following costs</w:t>
      </w:r>
      <w:r w:rsidR="00BB0941">
        <w:t xml:space="preserve"> for</w:t>
      </w:r>
      <w:r w:rsidR="006E3CBB">
        <w:t xml:space="preserve"> implementing an EMT</w:t>
      </w:r>
      <w:r w:rsidR="00B63356">
        <w:t>:</w:t>
      </w:r>
      <w:r>
        <w:t xml:space="preserve"> (a) $41,000 to $48,000 tagging costs</w:t>
      </w:r>
      <w:r w:rsidR="002D553D">
        <w:t xml:space="preserve">, </w:t>
      </w:r>
      <w:r>
        <w:t>including LDAR components; (b) $95,000 to $145,000 for implementation of a system to generate a Compliance Database Report</w:t>
      </w:r>
      <w:r w:rsidR="00B63356">
        <w:t xml:space="preserve"> </w:t>
      </w:r>
      <w:r w:rsidR="00555B00">
        <w:t xml:space="preserve">(“CDR”) </w:t>
      </w:r>
      <w:r w:rsidR="00B63356">
        <w:t>along with $10,000 in annual maintenance fees</w:t>
      </w:r>
      <w:r>
        <w:t xml:space="preserve">; (c) </w:t>
      </w:r>
      <w:r w:rsidR="00B63356">
        <w:t>$5,000 and $7,600 for a third-party audit of an operator’s EMT at a single vertical well site and multi-well horizontal well pad, respectively; and (d) $150,000 in annual staffing costs to meet the requirements of EMT.</w:t>
      </w:r>
      <w:r w:rsidR="00E7548C">
        <w:t xml:space="preserve"> </w:t>
      </w:r>
      <w:r w:rsidR="00B63356">
        <w:t xml:space="preserve"> </w:t>
      </w:r>
      <w:r w:rsidR="00B63356" w:rsidRPr="00B63356">
        <w:rPr>
          <w:b/>
          <w:bCs/>
        </w:rPr>
        <w:t xml:space="preserve">IPANM Ex. </w:t>
      </w:r>
      <w:r w:rsidR="00B63356" w:rsidRPr="00A747C2">
        <w:rPr>
          <w:b/>
          <w:bCs/>
        </w:rPr>
        <w:t>4</w:t>
      </w:r>
      <w:r w:rsidR="00B63356" w:rsidRPr="00B63356">
        <w:t xml:space="preserve"> at 5:7-22 (Brown Direct).  </w:t>
      </w:r>
    </w:p>
    <w:p w14:paraId="7318A347" w14:textId="10F00625" w:rsidR="0032139C" w:rsidRDefault="00107A62" w:rsidP="0032139C">
      <w:pPr>
        <w:pStyle w:val="ListParagraph"/>
        <w:numPr>
          <w:ilvl w:val="0"/>
          <w:numId w:val="2"/>
        </w:numPr>
        <w:spacing w:line="480" w:lineRule="auto"/>
        <w:ind w:left="0" w:firstLine="720"/>
        <w:jc w:val="both"/>
      </w:pPr>
      <w:r>
        <w:t>The Commercial Disposal Group</w:t>
      </w:r>
      <w:r w:rsidR="00901619">
        <w:t>, the Gas Compressor Association, OXY USA, Inc.</w:t>
      </w:r>
      <w:r w:rsidR="005D3D56">
        <w:t>, and NMOGA</w:t>
      </w:r>
      <w:r>
        <w:t xml:space="preserve"> </w:t>
      </w:r>
      <w:r w:rsidR="00C87CCC">
        <w:t>similarly</w:t>
      </w:r>
      <w:r>
        <w:t xml:space="preserve"> reject</w:t>
      </w:r>
      <w:r w:rsidR="0052537B">
        <w:t>ed</w:t>
      </w:r>
      <w:r w:rsidR="00901619">
        <w:t xml:space="preserve"> </w:t>
      </w:r>
      <w:r>
        <w:t xml:space="preserve">the EMT requirements for their </w:t>
      </w:r>
      <w:r w:rsidR="00C87CCC">
        <w:t xml:space="preserve">overly burdensome financial requirements and lack of a demonstrable environmental benefit.  </w:t>
      </w:r>
      <w:r w:rsidR="00C87CCC" w:rsidRPr="00901619">
        <w:rPr>
          <w:b/>
          <w:bCs/>
        </w:rPr>
        <w:t>Commercial Disposal Group Appendix C</w:t>
      </w:r>
      <w:r w:rsidR="00C87CCC">
        <w:t xml:space="preserve"> at 3:1-5:3</w:t>
      </w:r>
      <w:r w:rsidR="00901619">
        <w:t xml:space="preserve"> (Marquez Direct); </w:t>
      </w:r>
      <w:r w:rsidR="00901619" w:rsidRPr="00901619">
        <w:rPr>
          <w:b/>
          <w:bCs/>
        </w:rPr>
        <w:t>GCA Ex. 15</w:t>
      </w:r>
      <w:r w:rsidR="00901619">
        <w:t xml:space="preserve"> at 9:1-22:15 (Copeland Direct); OXY USA Ex. 2 at 18:13-19:20 (Holderman Direct)</w:t>
      </w:r>
      <w:r w:rsidR="005D3D56">
        <w:t xml:space="preserve">; </w:t>
      </w:r>
      <w:r w:rsidR="005D3D56" w:rsidRPr="005D3D56">
        <w:rPr>
          <w:b/>
          <w:bCs/>
        </w:rPr>
        <w:t>NMOGA A1</w:t>
      </w:r>
      <w:r w:rsidR="005D3D56">
        <w:t xml:space="preserve"> at 5:38-39, 6:26-7:13. </w:t>
      </w:r>
    </w:p>
    <w:p w14:paraId="475ECF5F" w14:textId="4097FE5E" w:rsidR="00BB0941" w:rsidRDefault="00107A62" w:rsidP="00BD5E97">
      <w:pPr>
        <w:pStyle w:val="ListParagraph"/>
        <w:numPr>
          <w:ilvl w:val="0"/>
          <w:numId w:val="2"/>
        </w:numPr>
        <w:spacing w:line="480" w:lineRule="auto"/>
        <w:ind w:left="0" w:firstLine="720"/>
        <w:jc w:val="both"/>
      </w:pPr>
      <w:r>
        <w:t xml:space="preserve">The </w:t>
      </w:r>
      <w:r w:rsidR="0052537B">
        <w:t xml:space="preserve">anticipated </w:t>
      </w:r>
      <w:r w:rsidR="00BB0941">
        <w:t xml:space="preserve">costs </w:t>
      </w:r>
      <w:r w:rsidR="0052537B">
        <w:t xml:space="preserve">of implementing the requirements, as </w:t>
      </w:r>
      <w:r w:rsidR="00BB0941">
        <w:t>IPANM determined</w:t>
      </w:r>
      <w:r w:rsidR="0052537B">
        <w:t>,</w:t>
      </w:r>
      <w:r w:rsidR="00BB0941">
        <w:t xml:space="preserve"> shows that the burden imposed upon independent oil and gas owners and operators outweighs the benefits, if any, of the proposed EMT requirement, especially given that the Department has failed to demonstrate that the </w:t>
      </w:r>
      <w:r w:rsidR="0057555C">
        <w:t>Ozone Rule</w:t>
      </w:r>
      <w:r w:rsidR="00BB0941">
        <w:t xml:space="preserve"> will reduce ozone precursor pollutants. </w:t>
      </w:r>
      <w:r w:rsidR="00BB0941" w:rsidRPr="00B63356">
        <w:rPr>
          <w:b/>
          <w:bCs/>
        </w:rPr>
        <w:t xml:space="preserve">IPANM Ex. </w:t>
      </w:r>
      <w:r w:rsidR="00BB0941" w:rsidRPr="00B63356">
        <w:t xml:space="preserve">4 at </w:t>
      </w:r>
      <w:r w:rsidR="00BB0941">
        <w:t>7</w:t>
      </w:r>
      <w:r w:rsidR="00BB0941" w:rsidRPr="00B63356">
        <w:t>:</w:t>
      </w:r>
      <w:r w:rsidR="00BB0941">
        <w:t>16-20</w:t>
      </w:r>
      <w:r w:rsidR="00BB0941" w:rsidRPr="00B63356">
        <w:t xml:space="preserve"> (Brown Direct).  </w:t>
      </w:r>
    </w:p>
    <w:p w14:paraId="4BFD9580" w14:textId="4BE02BE0" w:rsidR="00964DF2" w:rsidRDefault="00964DF2" w:rsidP="00964DF2">
      <w:pPr>
        <w:pStyle w:val="ListParagraph"/>
        <w:numPr>
          <w:ilvl w:val="0"/>
          <w:numId w:val="2"/>
        </w:numPr>
        <w:spacing w:line="480" w:lineRule="auto"/>
        <w:ind w:left="0" w:firstLine="720"/>
        <w:jc w:val="both"/>
      </w:pPr>
      <w:r>
        <w:lastRenderedPageBreak/>
        <w:t xml:space="preserve">IPANM maintained that </w:t>
      </w:r>
      <w:r w:rsidR="00367B71">
        <w:t>NMED</w:t>
      </w:r>
      <w:r>
        <w:t xml:space="preserve"> provided no evidence that implementing EMT will have any effect on reducing NOx and VOC emissions. </w:t>
      </w:r>
      <w:r w:rsidRPr="00964DF2">
        <w:rPr>
          <w:b/>
          <w:bCs/>
        </w:rPr>
        <w:t>IPANM Ex. 11</w:t>
      </w:r>
      <w:r>
        <w:t xml:space="preserve"> at 4:2-6 (Brown Rebuttal). </w:t>
      </w:r>
    </w:p>
    <w:p w14:paraId="61123505" w14:textId="3717F43B" w:rsidR="001C5F2D" w:rsidRDefault="00964DF2" w:rsidP="001C5F2D">
      <w:pPr>
        <w:pStyle w:val="ListParagraph"/>
        <w:numPr>
          <w:ilvl w:val="0"/>
          <w:numId w:val="2"/>
        </w:numPr>
        <w:spacing w:line="480" w:lineRule="auto"/>
        <w:ind w:left="0" w:firstLine="720"/>
        <w:jc w:val="both"/>
      </w:pPr>
      <w:r>
        <w:t xml:space="preserve">IPANM </w:t>
      </w:r>
      <w:r w:rsidR="001C5F2D">
        <w:t xml:space="preserve">also maintained </w:t>
      </w:r>
      <w:r w:rsidR="00B00FFC">
        <w:t>that</w:t>
      </w:r>
      <w:r>
        <w:t xml:space="preserve"> the Compliance Database Report requirement </w:t>
      </w:r>
      <w:r w:rsidR="00B00FFC">
        <w:t xml:space="preserve">should be removed </w:t>
      </w:r>
      <w:r>
        <w:t>from</w:t>
      </w:r>
      <w:r w:rsidR="001C5F2D">
        <w:t xml:space="preserve"> Part 50 because it is </w:t>
      </w:r>
      <w:r w:rsidR="00367B71">
        <w:t>cost prohibitive</w:t>
      </w:r>
      <w:r>
        <w:t xml:space="preserve">. </w:t>
      </w:r>
      <w:r w:rsidR="001C5F2D" w:rsidRPr="00860D28">
        <w:rPr>
          <w:b/>
          <w:bCs/>
        </w:rPr>
        <w:t>IPANM Ex. 11</w:t>
      </w:r>
      <w:r w:rsidR="001C5F2D">
        <w:t xml:space="preserve"> at 6:17-7:5 (Brown Rebuttal). </w:t>
      </w:r>
    </w:p>
    <w:p w14:paraId="5A5D22D2" w14:textId="0858F98E" w:rsidR="00964DF2" w:rsidRDefault="001C5F2D" w:rsidP="001C5F2D">
      <w:pPr>
        <w:pStyle w:val="ListParagraph"/>
        <w:numPr>
          <w:ilvl w:val="0"/>
          <w:numId w:val="2"/>
        </w:numPr>
        <w:spacing w:line="480" w:lineRule="auto"/>
        <w:ind w:left="0" w:firstLine="720"/>
        <w:jc w:val="both"/>
      </w:pPr>
      <w:r>
        <w:t xml:space="preserve">IPANM also </w:t>
      </w:r>
      <w:r w:rsidR="00B00FFC">
        <w:t>objected</w:t>
      </w:r>
      <w:r>
        <w:t xml:space="preserve"> to NMED’s proposal requiring owners or operators of sources subject to Part 50 to retain a third-party to verify data or information collected. </w:t>
      </w:r>
      <w:r w:rsidR="00367B71">
        <w:t>IPANM explained that t</w:t>
      </w:r>
      <w:r>
        <w:t xml:space="preserve">he </w:t>
      </w:r>
      <w:r w:rsidR="00B05428">
        <w:t xml:space="preserve">third-party audit is costly and does not demonstrate reductions in emissions of ozone precursors.  </w:t>
      </w:r>
      <w:r w:rsidRPr="00860D28">
        <w:rPr>
          <w:b/>
          <w:bCs/>
        </w:rPr>
        <w:t>IPANM Ex. 11</w:t>
      </w:r>
      <w:r>
        <w:t xml:space="preserve"> at </w:t>
      </w:r>
      <w:r w:rsidR="00B05428">
        <w:t>9:2-14</w:t>
      </w:r>
      <w:r>
        <w:t xml:space="preserve"> (Brown Rebuttal).</w:t>
      </w:r>
    </w:p>
    <w:p w14:paraId="68883246" w14:textId="296ACAB8" w:rsidR="00964DF2" w:rsidRDefault="00964DF2" w:rsidP="00964DF2">
      <w:pPr>
        <w:pStyle w:val="ListParagraph"/>
        <w:numPr>
          <w:ilvl w:val="0"/>
          <w:numId w:val="2"/>
        </w:numPr>
        <w:spacing w:line="480" w:lineRule="auto"/>
        <w:ind w:left="0" w:firstLine="720"/>
        <w:jc w:val="both"/>
      </w:pPr>
      <w:r>
        <w:t xml:space="preserve">IPANM requested deletion of </w:t>
      </w:r>
      <w:r w:rsidR="00B05428">
        <w:t xml:space="preserve">the EMT requirement </w:t>
      </w:r>
      <w:r>
        <w:t xml:space="preserve">in Sections 112-114, 117-119, and 122-123, and the removal of </w:t>
      </w:r>
      <w:r w:rsidR="00B05428">
        <w:t xml:space="preserve">the CDR requirement </w:t>
      </w:r>
      <w:r>
        <w:t xml:space="preserve">in Section 112(A)(6)-(7), and the requirement for an operator to retain third party to verify data (audit). </w:t>
      </w:r>
      <w:r w:rsidRPr="00860D28">
        <w:rPr>
          <w:b/>
          <w:bCs/>
        </w:rPr>
        <w:t>IPANM Ex. 11</w:t>
      </w:r>
      <w:r>
        <w:t xml:space="preserve"> at 2:4-14 (Brown Rebuttal).</w:t>
      </w:r>
    </w:p>
    <w:p w14:paraId="48DFC651" w14:textId="2DA4BFF0" w:rsidR="0032139C" w:rsidRDefault="0032139C" w:rsidP="00BA22A9">
      <w:pPr>
        <w:pStyle w:val="ListParagraph"/>
        <w:numPr>
          <w:ilvl w:val="0"/>
          <w:numId w:val="2"/>
        </w:numPr>
        <w:spacing w:after="0" w:line="480" w:lineRule="auto"/>
        <w:ind w:left="0" w:firstLine="720"/>
        <w:jc w:val="both"/>
      </w:pPr>
      <w:r>
        <w:t xml:space="preserve">In </w:t>
      </w:r>
      <w:r w:rsidR="00160057">
        <w:t>their</w:t>
      </w:r>
      <w:r>
        <w:t xml:space="preserve"> rebuttal</w:t>
      </w:r>
      <w:r w:rsidR="0080168C">
        <w:t xml:space="preserve"> testimony</w:t>
      </w:r>
      <w:r>
        <w:t xml:space="preserve">, </w:t>
      </w:r>
      <w:r w:rsidR="00367B71">
        <w:t xml:space="preserve">NMED’s witnesses </w:t>
      </w:r>
      <w:r w:rsidR="00160057">
        <w:t>Ms. Bisbey-Kuehn and Mr. Palmer</w:t>
      </w:r>
      <w:r>
        <w:t xml:space="preserve"> noted that </w:t>
      </w:r>
      <w:r w:rsidR="007026E1">
        <w:t xml:space="preserve">both </w:t>
      </w:r>
      <w:r>
        <w:t>IPANM and GCA proposed to remove Section 112(A)(3)-(9</w:t>
      </w:r>
      <w:proofErr w:type="gramStart"/>
      <w:r>
        <w:t>)</w:t>
      </w:r>
      <w:r w:rsidR="00B00FFC">
        <w:t>,</w:t>
      </w:r>
      <w:r w:rsidR="007026E1">
        <w:t xml:space="preserve"> but</w:t>
      </w:r>
      <w:proofErr w:type="gramEnd"/>
      <w:r>
        <w:t xml:space="preserve"> rejected t</w:t>
      </w:r>
      <w:r w:rsidR="007026E1">
        <w:t>he latter’s</w:t>
      </w:r>
      <w:r>
        <w:t xml:space="preserve"> approach.</w:t>
      </w:r>
      <w:r w:rsidR="00555B00">
        <w:t xml:space="preserve">  </w:t>
      </w:r>
      <w:r w:rsidR="00555B00" w:rsidRPr="00555B00">
        <w:rPr>
          <w:b/>
          <w:bCs/>
        </w:rPr>
        <w:t>NMED Rebuttal Ex. 1</w:t>
      </w:r>
      <w:r w:rsidR="00555B00">
        <w:t xml:space="preserve"> at 22:13-17 (</w:t>
      </w:r>
      <w:r w:rsidR="006D7452">
        <w:t>Bisbey-Kuehn</w:t>
      </w:r>
      <w:r w:rsidR="00555B00">
        <w:t xml:space="preserve">/Palmer Rebuttal).  </w:t>
      </w:r>
      <w:r w:rsidR="007026E1">
        <w:t xml:space="preserve">NMED </w:t>
      </w:r>
      <w:r w:rsidR="00B00FFC">
        <w:t>withdrew</w:t>
      </w:r>
      <w:r w:rsidR="007026E1">
        <w:t xml:space="preserve"> the </w:t>
      </w:r>
      <w:r w:rsidR="00B00FFC">
        <w:t xml:space="preserve">proposed </w:t>
      </w:r>
      <w:r w:rsidR="007026E1">
        <w:t>requirement to place a physical tag on each affected source</w:t>
      </w:r>
      <w:r w:rsidR="00555B00">
        <w:t xml:space="preserve"> (the EMT requirement)</w:t>
      </w:r>
      <w:r w:rsidR="00964DF2">
        <w:t xml:space="preserve"> throughout</w:t>
      </w:r>
      <w:r w:rsidR="00B05428">
        <w:t xml:space="preserve"> Part </w:t>
      </w:r>
      <w:proofErr w:type="gramStart"/>
      <w:r w:rsidR="00B05428">
        <w:t>50</w:t>
      </w:r>
      <w:r w:rsidR="007026E1">
        <w:t>, but</w:t>
      </w:r>
      <w:proofErr w:type="gramEnd"/>
      <w:r w:rsidR="007026E1">
        <w:t xml:space="preserve"> </w:t>
      </w:r>
      <w:r w:rsidR="00160057">
        <w:t>kept</w:t>
      </w:r>
      <w:r w:rsidR="007026E1">
        <w:t xml:space="preserve"> the requirement to establish a database system to maintain compliance and general information</w:t>
      </w:r>
      <w:r w:rsidR="0080168C">
        <w:t xml:space="preserve">.  </w:t>
      </w:r>
      <w:r w:rsidR="00555B00" w:rsidRPr="00555B00">
        <w:rPr>
          <w:b/>
          <w:bCs/>
          <w:i/>
          <w:iCs/>
        </w:rPr>
        <w:t>Id</w:t>
      </w:r>
      <w:r w:rsidR="00555B00">
        <w:t>. at 4-6</w:t>
      </w:r>
      <w:r w:rsidR="00BA22A9">
        <w:t xml:space="preserve">; </w:t>
      </w:r>
      <w:r w:rsidR="00BA22A9" w:rsidRPr="007C28B9">
        <w:t xml:space="preserve">Tr. Vol. </w:t>
      </w:r>
      <w:r w:rsidR="00BA22A9">
        <w:t>5</w:t>
      </w:r>
      <w:r w:rsidR="00BA22A9" w:rsidRPr="007C28B9">
        <w:t xml:space="preserve">, </w:t>
      </w:r>
      <w:r w:rsidR="00BA22A9">
        <w:t>1357:3-5 (Bisbey-Kuehn)</w:t>
      </w:r>
      <w:r w:rsidR="00BA22A9" w:rsidRPr="007C28B9">
        <w:t>.</w:t>
      </w:r>
      <w:r w:rsidR="00BA22A9">
        <w:t xml:space="preserve">  </w:t>
      </w:r>
      <w:r w:rsidR="007026E1">
        <w:t xml:space="preserve">NMED did not agree to remove requirements that each monitoring event be contemporaneously recorded and uploaded to the database system. </w:t>
      </w:r>
      <w:r w:rsidR="00964DF2" w:rsidRPr="00BA22A9">
        <w:rPr>
          <w:b/>
          <w:bCs/>
          <w:i/>
          <w:iCs/>
        </w:rPr>
        <w:t>Id</w:t>
      </w:r>
      <w:r w:rsidR="00964DF2">
        <w:t xml:space="preserve">. at 23:7-8. </w:t>
      </w:r>
    </w:p>
    <w:p w14:paraId="7884159D" w14:textId="7CB99D9A" w:rsidR="007026E1" w:rsidRPr="00BA22A9" w:rsidRDefault="007026E1" w:rsidP="002F4813">
      <w:pPr>
        <w:pStyle w:val="ListParagraph"/>
        <w:numPr>
          <w:ilvl w:val="0"/>
          <w:numId w:val="2"/>
        </w:numPr>
        <w:spacing w:line="480" w:lineRule="auto"/>
        <w:ind w:left="0" w:firstLine="720"/>
        <w:jc w:val="both"/>
      </w:pPr>
      <w:r>
        <w:t>NMED did not agree with IPANM’s proposal to remove the requirement in Section 112(A)(1</w:t>
      </w:r>
      <w:r w:rsidR="00962878">
        <w:t>0</w:t>
      </w:r>
      <w:r>
        <w:t xml:space="preserve">) that an owner or operator retain a third party to review a </w:t>
      </w:r>
      <w:r w:rsidR="00964DF2">
        <w:t xml:space="preserve">CDR </w:t>
      </w:r>
      <w:r>
        <w:t xml:space="preserve">to verify compliance </w:t>
      </w:r>
      <w:r>
        <w:lastRenderedPageBreak/>
        <w:t xml:space="preserve">with the rule.  </w:t>
      </w:r>
      <w:r w:rsidR="00964DF2" w:rsidRPr="00555B00">
        <w:rPr>
          <w:b/>
          <w:bCs/>
        </w:rPr>
        <w:t>NMED Rebuttal Ex. 1</w:t>
      </w:r>
      <w:r w:rsidR="00964DF2">
        <w:t xml:space="preserve"> at 24:4-14 (</w:t>
      </w:r>
      <w:r w:rsidR="006D7452">
        <w:t>Bisbey-Kuehn</w:t>
      </w:r>
      <w:r w:rsidR="00964DF2">
        <w:t xml:space="preserve">/Palmer Rebuttal). </w:t>
      </w:r>
      <w:r>
        <w:t xml:space="preserve">The Department, however, agreed to limit </w:t>
      </w:r>
      <w:r w:rsidR="00962878">
        <w:t>third-party verification requests to on</w:t>
      </w:r>
      <w:r w:rsidR="00964DF2">
        <w:t>c</w:t>
      </w:r>
      <w:r w:rsidR="00962878">
        <w:t xml:space="preserve">e per year and </w:t>
      </w:r>
      <w:r w:rsidR="001F6944">
        <w:t xml:space="preserve">to add authorization </w:t>
      </w:r>
      <w:r w:rsidR="00962878">
        <w:t xml:space="preserve">for owners and operators to request a hearing for review of the Department’s asserted cause for </w:t>
      </w:r>
      <w:r w:rsidR="00962878" w:rsidRPr="00BA22A9">
        <w:t xml:space="preserve">requesting </w:t>
      </w:r>
      <w:r w:rsidR="001F6944">
        <w:t>an</w:t>
      </w:r>
      <w:r w:rsidR="00962878" w:rsidRPr="00BA22A9">
        <w:t xml:space="preserve"> audit.</w:t>
      </w:r>
      <w:r w:rsidR="00964DF2" w:rsidRPr="00BA22A9">
        <w:t xml:space="preserve">  </w:t>
      </w:r>
      <w:r w:rsidR="00964DF2" w:rsidRPr="00BA22A9">
        <w:rPr>
          <w:b/>
          <w:bCs/>
          <w:i/>
          <w:iCs/>
        </w:rPr>
        <w:t>Id</w:t>
      </w:r>
      <w:r w:rsidR="00964DF2" w:rsidRPr="00BA22A9">
        <w:t>. at 24:14-19</w:t>
      </w:r>
      <w:r w:rsidR="002F4813">
        <w:t xml:space="preserve">; </w:t>
      </w:r>
      <w:r w:rsidR="002F4813" w:rsidRPr="007C28B9">
        <w:t xml:space="preserve">Tr. Vol. </w:t>
      </w:r>
      <w:r w:rsidR="002F4813">
        <w:t>5</w:t>
      </w:r>
      <w:r w:rsidR="002F4813" w:rsidRPr="007C28B9">
        <w:t xml:space="preserve">, </w:t>
      </w:r>
      <w:r w:rsidR="002F4813">
        <w:t>1359:20-21 (Bisbey-Kuehn)</w:t>
      </w:r>
      <w:r w:rsidR="005009EC">
        <w:t xml:space="preserve">; </w:t>
      </w:r>
      <w:r w:rsidR="005009EC" w:rsidRPr="007C28B9">
        <w:t xml:space="preserve">Tr. Vol. </w:t>
      </w:r>
      <w:r w:rsidR="005009EC">
        <w:t>5</w:t>
      </w:r>
      <w:r w:rsidR="005009EC" w:rsidRPr="007C28B9">
        <w:t xml:space="preserve">, </w:t>
      </w:r>
      <w:r w:rsidR="005009EC">
        <w:t>1360:15-21 (Bisbey-Kuehn)</w:t>
      </w:r>
      <w:r w:rsidR="005009EC" w:rsidRPr="007C28B9">
        <w:t>.</w:t>
      </w:r>
      <w:r w:rsidR="005009EC">
        <w:t xml:space="preserve">  The owner or operator may challenge the recommendations made by the third-party auditor. </w:t>
      </w:r>
      <w:r w:rsidR="005009EC" w:rsidRPr="007C28B9">
        <w:t xml:space="preserve">Tr. Vol. </w:t>
      </w:r>
      <w:r w:rsidR="005009EC">
        <w:t>5</w:t>
      </w:r>
      <w:r w:rsidR="005009EC" w:rsidRPr="007C28B9">
        <w:t xml:space="preserve">, </w:t>
      </w:r>
      <w:r w:rsidR="005009EC">
        <w:t>1361:6-13 (Bisbey-Kuehn)</w:t>
      </w:r>
      <w:r w:rsidR="005009EC" w:rsidRPr="007C28B9">
        <w:t>.</w:t>
      </w:r>
    </w:p>
    <w:p w14:paraId="430C2BA0" w14:textId="2206329E" w:rsidR="00962878" w:rsidRPr="00BA22A9" w:rsidRDefault="00962878" w:rsidP="00BD5E97">
      <w:pPr>
        <w:pStyle w:val="ListParagraph"/>
        <w:numPr>
          <w:ilvl w:val="0"/>
          <w:numId w:val="2"/>
        </w:numPr>
        <w:spacing w:line="480" w:lineRule="auto"/>
        <w:ind w:left="0" w:firstLine="720"/>
        <w:jc w:val="both"/>
      </w:pPr>
      <w:r w:rsidRPr="00BA22A9">
        <w:t>Lastly, NMED agreed to delete the reference to EMT requirements in Section 112(B)(3).</w:t>
      </w:r>
      <w:r w:rsidR="00964DF2" w:rsidRPr="00BA22A9">
        <w:t xml:space="preserve">  </w:t>
      </w:r>
      <w:r w:rsidR="00964DF2" w:rsidRPr="00BA22A9">
        <w:rPr>
          <w:b/>
          <w:bCs/>
        </w:rPr>
        <w:t>NMED Rebuttal Ex. 1</w:t>
      </w:r>
      <w:r w:rsidR="00964DF2" w:rsidRPr="00BA22A9">
        <w:t xml:space="preserve"> at 26:</w:t>
      </w:r>
      <w:r w:rsidR="002B2E70">
        <w:t>1</w:t>
      </w:r>
      <w:r w:rsidR="00964DF2" w:rsidRPr="00BA22A9">
        <w:t>-5 (</w:t>
      </w:r>
      <w:r w:rsidR="006D7452">
        <w:t>Bisbey-Kuehn</w:t>
      </w:r>
      <w:r w:rsidR="00964DF2" w:rsidRPr="00BA22A9">
        <w:t>/Palmer Rebuttal).</w:t>
      </w:r>
    </w:p>
    <w:p w14:paraId="2764D33C" w14:textId="5144257D" w:rsidR="00CA667A" w:rsidRDefault="00042628" w:rsidP="002B2E70">
      <w:pPr>
        <w:pStyle w:val="ListParagraph"/>
        <w:numPr>
          <w:ilvl w:val="0"/>
          <w:numId w:val="2"/>
        </w:numPr>
        <w:spacing w:line="480" w:lineRule="auto"/>
        <w:ind w:left="0" w:firstLine="720"/>
        <w:jc w:val="both"/>
      </w:pPr>
      <w:r w:rsidRPr="00BA22A9">
        <w:t xml:space="preserve">In the </w:t>
      </w:r>
      <w:r w:rsidR="008C71C4">
        <w:t>September 16, 2021</w:t>
      </w:r>
      <w:r w:rsidR="00030B40">
        <w:t>,</w:t>
      </w:r>
      <w:r w:rsidR="008C71C4">
        <w:t xml:space="preserve"> </w:t>
      </w:r>
      <w:r w:rsidRPr="00BA22A9">
        <w:t xml:space="preserve">version of the </w:t>
      </w:r>
      <w:r w:rsidR="0057555C">
        <w:t>Ozone Rule</w:t>
      </w:r>
      <w:r w:rsidRPr="00BA22A9">
        <w:t xml:space="preserve"> </w:t>
      </w:r>
      <w:r w:rsidR="008C71C4">
        <w:t>submitted</w:t>
      </w:r>
      <w:r w:rsidRPr="00BA22A9">
        <w:t xml:space="preserve"> </w:t>
      </w:r>
      <w:r w:rsidR="0080168C" w:rsidRPr="00BA22A9">
        <w:t xml:space="preserve">by </w:t>
      </w:r>
      <w:r w:rsidR="00B00FFC">
        <w:t>NMED</w:t>
      </w:r>
      <w:r w:rsidR="008461A9" w:rsidRPr="00BA22A9">
        <w:t>,</w:t>
      </w:r>
      <w:r w:rsidRPr="00BA22A9">
        <w:t xml:space="preserve"> it removed the</w:t>
      </w:r>
      <w:r w:rsidR="0041608A" w:rsidRPr="00BA22A9">
        <w:t xml:space="preserve"> EMT requirement</w:t>
      </w:r>
      <w:r w:rsidRPr="00BA22A9">
        <w:t xml:space="preserve"> </w:t>
      </w:r>
      <w:r w:rsidR="0041608A" w:rsidRPr="00BA22A9">
        <w:t xml:space="preserve">throughout the </w:t>
      </w:r>
      <w:r w:rsidR="0057555C">
        <w:t>Ozone Rule</w:t>
      </w:r>
      <w:r w:rsidR="001F6944">
        <w:t>,</w:t>
      </w:r>
      <w:r w:rsidRPr="00BA22A9">
        <w:t xml:space="preserve"> but </w:t>
      </w:r>
      <w:r w:rsidR="001F6944">
        <w:t>kept</w:t>
      </w:r>
      <w:r w:rsidRPr="00BA22A9">
        <w:t xml:space="preserve"> the </w:t>
      </w:r>
      <w:r w:rsidR="0041608A" w:rsidRPr="00BA22A9">
        <w:t xml:space="preserve">CDR requirement </w:t>
      </w:r>
      <w:r w:rsidR="005F0B96" w:rsidRPr="00BA22A9">
        <w:t xml:space="preserve">in Section 112(A)(3)-(8) and the third-party audit provision Section 112(A)(9). The EMT requirement in Section 112(B)(3) was </w:t>
      </w:r>
      <w:r w:rsidR="0080168C">
        <w:t xml:space="preserve">also </w:t>
      </w:r>
      <w:r w:rsidR="005F0B96" w:rsidRPr="00BA22A9">
        <w:t>removed.</w:t>
      </w:r>
      <w:r w:rsidR="0041608A" w:rsidRPr="00BA22A9">
        <w:t xml:space="preserve"> </w:t>
      </w:r>
      <w:r w:rsidR="002B2E70">
        <w:t xml:space="preserve"> </w:t>
      </w:r>
      <w:r w:rsidR="002B2E70" w:rsidRPr="00BA22A9">
        <w:rPr>
          <w:b/>
          <w:bCs/>
        </w:rPr>
        <w:t>NMED Rebuttal Ex. 1</w:t>
      </w:r>
      <w:r w:rsidR="002B2E70" w:rsidRPr="00BA22A9">
        <w:t xml:space="preserve"> at 26:</w:t>
      </w:r>
      <w:r w:rsidR="002B2E70">
        <w:t>1</w:t>
      </w:r>
      <w:r w:rsidR="002B2E70" w:rsidRPr="00BA22A9">
        <w:t>-5 (</w:t>
      </w:r>
      <w:r w:rsidR="002B2E70">
        <w:t>Bisbey-Kuehn</w:t>
      </w:r>
      <w:r w:rsidR="002B2E70" w:rsidRPr="00BA22A9">
        <w:t>/Palmer Rebuttal).</w:t>
      </w:r>
    </w:p>
    <w:p w14:paraId="6C94E6FA" w14:textId="5B23D001" w:rsidR="00BA22A9" w:rsidRDefault="00BA22A9" w:rsidP="00CA667A">
      <w:pPr>
        <w:pStyle w:val="ListParagraph"/>
        <w:numPr>
          <w:ilvl w:val="0"/>
          <w:numId w:val="2"/>
        </w:numPr>
        <w:spacing w:line="480" w:lineRule="auto"/>
        <w:ind w:left="0" w:firstLine="720"/>
        <w:jc w:val="both"/>
      </w:pPr>
      <w:r>
        <w:t xml:space="preserve">At hearing, </w:t>
      </w:r>
      <w:r w:rsidR="00B00FFC">
        <w:t>NMED</w:t>
      </w:r>
      <w:r>
        <w:t xml:space="preserve"> confirmed that the EMT requirement was removed from the proposed Part 50. </w:t>
      </w:r>
      <w:r w:rsidRPr="00BA22A9">
        <w:t>Tr. Vol. 5, 1357:</w:t>
      </w:r>
      <w:r>
        <w:t>6-9</w:t>
      </w:r>
      <w:r w:rsidRPr="00BA22A9">
        <w:t xml:space="preserve"> (Bisbey-Kuehn).  </w:t>
      </w:r>
      <w:r w:rsidR="001F6944">
        <w:t>NMED</w:t>
      </w:r>
      <w:r>
        <w:t xml:space="preserve"> retained, however, its proposal </w:t>
      </w:r>
      <w:r w:rsidR="00291853">
        <w:t xml:space="preserve">to require a database system for date- and time-stamping monitoring events under Section 112. </w:t>
      </w:r>
      <w:r w:rsidR="00291853" w:rsidRPr="007C28B9">
        <w:t xml:space="preserve">Tr. Vol. </w:t>
      </w:r>
      <w:r w:rsidR="00291853">
        <w:t>5</w:t>
      </w:r>
      <w:r w:rsidR="00291853" w:rsidRPr="007C28B9">
        <w:t xml:space="preserve">, </w:t>
      </w:r>
      <w:r w:rsidR="00291853">
        <w:t>1357:16-17; 1359:10-14 (Bisbey-Kuehn)</w:t>
      </w:r>
      <w:r w:rsidR="00291853" w:rsidRPr="007C28B9">
        <w:t>.</w:t>
      </w:r>
      <w:r w:rsidR="00291853">
        <w:t xml:space="preserve">  </w:t>
      </w:r>
      <w:r w:rsidR="009964B6">
        <w:t>NMED</w:t>
      </w:r>
      <w:r w:rsidR="00237DBD">
        <w:t xml:space="preserve"> </w:t>
      </w:r>
      <w:r w:rsidR="009964B6">
        <w:t>explain</w:t>
      </w:r>
      <w:r w:rsidR="001F6944">
        <w:t>ed</w:t>
      </w:r>
      <w:r w:rsidR="00237DBD">
        <w:t xml:space="preserve"> </w:t>
      </w:r>
      <w:r w:rsidR="001F6944">
        <w:t>that it did not evaluate</w:t>
      </w:r>
      <w:r w:rsidR="00237DBD">
        <w:t xml:space="preserve"> the cost of the date- and </w:t>
      </w:r>
      <w:proofErr w:type="gramStart"/>
      <w:r w:rsidR="00237DBD">
        <w:t>time-stamp</w:t>
      </w:r>
      <w:proofErr w:type="gramEnd"/>
      <w:r w:rsidR="00237DBD">
        <w:t xml:space="preserve"> technologies, but </w:t>
      </w:r>
      <w:r w:rsidR="00177228">
        <w:t>testified</w:t>
      </w:r>
      <w:r w:rsidR="00237DBD">
        <w:t xml:space="preserve"> that it hopes to identify free technological “apps” that can perform that function. </w:t>
      </w:r>
      <w:r w:rsidR="00237DBD" w:rsidRPr="007C28B9">
        <w:t xml:space="preserve">Tr. Vol. </w:t>
      </w:r>
      <w:r w:rsidR="00237DBD">
        <w:t>5</w:t>
      </w:r>
      <w:r w:rsidR="00237DBD" w:rsidRPr="007C28B9">
        <w:t xml:space="preserve">, </w:t>
      </w:r>
      <w:r w:rsidR="00237DBD">
        <w:t>1369:4-8, 15-19 (Bisbey-Kuehn)</w:t>
      </w:r>
      <w:r w:rsidR="00237DBD" w:rsidRPr="007C28B9">
        <w:t>.</w:t>
      </w:r>
    </w:p>
    <w:p w14:paraId="61C3E67E" w14:textId="0BDC7536" w:rsidR="00291853" w:rsidRDefault="00291853" w:rsidP="00BA22A9">
      <w:pPr>
        <w:pStyle w:val="ListParagraph"/>
        <w:numPr>
          <w:ilvl w:val="0"/>
          <w:numId w:val="2"/>
        </w:numPr>
        <w:spacing w:line="480" w:lineRule="auto"/>
        <w:ind w:left="0" w:firstLine="720"/>
        <w:jc w:val="both"/>
      </w:pPr>
      <w:r>
        <w:t xml:space="preserve">The compliance database system provision requires final reports to be entered within three business days and that the Department will develop a list of approved technologies for the “new contemporaneous tracking system.” </w:t>
      </w:r>
      <w:r w:rsidRPr="007C28B9">
        <w:t xml:space="preserve">Tr. Vol. </w:t>
      </w:r>
      <w:r>
        <w:t>5</w:t>
      </w:r>
      <w:r w:rsidRPr="007C28B9">
        <w:t xml:space="preserve">, </w:t>
      </w:r>
      <w:r>
        <w:t>1357:22-23</w:t>
      </w:r>
      <w:r w:rsidR="002F4813">
        <w:t xml:space="preserve"> </w:t>
      </w:r>
      <w:r>
        <w:t>(Bisbey-Kuehn)</w:t>
      </w:r>
      <w:r w:rsidRPr="007C28B9">
        <w:t>.</w:t>
      </w:r>
      <w:r>
        <w:t xml:space="preserve">  </w:t>
      </w:r>
    </w:p>
    <w:p w14:paraId="238940EE" w14:textId="0D60160B" w:rsidR="0080168C" w:rsidRDefault="0080168C" w:rsidP="0080168C">
      <w:pPr>
        <w:pStyle w:val="ListParagraph"/>
        <w:numPr>
          <w:ilvl w:val="0"/>
          <w:numId w:val="2"/>
        </w:numPr>
        <w:spacing w:line="480" w:lineRule="auto"/>
        <w:ind w:left="0" w:firstLine="720"/>
        <w:jc w:val="both"/>
      </w:pPr>
      <w:r>
        <w:lastRenderedPageBreak/>
        <w:t xml:space="preserve">The third-party audit relates to data and information that is prepared in the database report that the Department may request under the proposed </w:t>
      </w:r>
      <w:r w:rsidR="0057555C">
        <w:t>Ozone Rule</w:t>
      </w:r>
      <w:r>
        <w:t xml:space="preserve">. </w:t>
      </w:r>
      <w:r w:rsidRPr="007C28B9">
        <w:t xml:space="preserve">Tr. Vol. </w:t>
      </w:r>
      <w:r>
        <w:t>5</w:t>
      </w:r>
      <w:r w:rsidRPr="007C28B9">
        <w:t xml:space="preserve">, </w:t>
      </w:r>
      <w:r>
        <w:t>1460:8-13 (Bisbey-Kuehn)</w:t>
      </w:r>
      <w:r w:rsidRPr="007C28B9">
        <w:t>.</w:t>
      </w:r>
      <w:r>
        <w:t xml:space="preserve">  </w:t>
      </w:r>
    </w:p>
    <w:p w14:paraId="7C21A727" w14:textId="107871B2" w:rsidR="00923A34" w:rsidRDefault="00923A34" w:rsidP="00923A34">
      <w:pPr>
        <w:pStyle w:val="ListParagraph"/>
        <w:numPr>
          <w:ilvl w:val="0"/>
          <w:numId w:val="2"/>
        </w:numPr>
        <w:spacing w:line="480" w:lineRule="auto"/>
        <w:ind w:left="0" w:firstLine="720"/>
        <w:jc w:val="both"/>
      </w:pPr>
      <w:r>
        <w:t xml:space="preserve">NMOGA commented, however, that the CDR is a complex and challenging report to compile, depending on the complexity of an operator’s information system; it will require written codes and database integration for completion of the report. </w:t>
      </w:r>
      <w:r w:rsidRPr="007C28B9">
        <w:t xml:space="preserve">Tr. Vol. </w:t>
      </w:r>
      <w:r>
        <w:t>5</w:t>
      </w:r>
      <w:r w:rsidRPr="007C28B9">
        <w:t xml:space="preserve">, </w:t>
      </w:r>
      <w:r>
        <w:t>1</w:t>
      </w:r>
      <w:r w:rsidR="00C95A6A">
        <w:t>426</w:t>
      </w:r>
      <w:r>
        <w:t>:</w:t>
      </w:r>
      <w:r w:rsidR="00C95A6A">
        <w:t>14-22</w:t>
      </w:r>
      <w:r>
        <w:t xml:space="preserve"> (Smitherman)</w:t>
      </w:r>
      <w:r w:rsidRPr="007C28B9">
        <w:t>.</w:t>
      </w:r>
      <w:r>
        <w:t xml:space="preserve">  </w:t>
      </w:r>
    </w:p>
    <w:p w14:paraId="77AE62DF" w14:textId="77EDD518" w:rsidR="004C0E13" w:rsidRDefault="004C0E13" w:rsidP="00923A34">
      <w:pPr>
        <w:pStyle w:val="ListParagraph"/>
        <w:numPr>
          <w:ilvl w:val="0"/>
          <w:numId w:val="2"/>
        </w:numPr>
        <w:spacing w:line="480" w:lineRule="auto"/>
        <w:ind w:left="0" w:firstLine="720"/>
        <w:jc w:val="both"/>
      </w:pPr>
      <w:r>
        <w:t xml:space="preserve">IPANM </w:t>
      </w:r>
      <w:r w:rsidR="00FE58BF">
        <w:t xml:space="preserve">and CDG </w:t>
      </w:r>
      <w:r>
        <w:t xml:space="preserve">also stated that the generation of the CDR is cumbersome. </w:t>
      </w:r>
      <w:r w:rsidRPr="007C28B9">
        <w:t xml:space="preserve">Tr. Vol. </w:t>
      </w:r>
      <w:r>
        <w:t>5</w:t>
      </w:r>
      <w:r w:rsidRPr="007C28B9">
        <w:t xml:space="preserve">, </w:t>
      </w:r>
      <w:r>
        <w:t>1436:23-1437:3 (</w:t>
      </w:r>
      <w:r w:rsidR="00DF5890">
        <w:t>Brown</w:t>
      </w:r>
      <w:r>
        <w:t>)</w:t>
      </w:r>
      <w:r w:rsidR="00FE58BF">
        <w:t xml:space="preserve"> and 1469:22-1470:1</w:t>
      </w:r>
      <w:r w:rsidR="00FD7642">
        <w:t xml:space="preserve"> (</w:t>
      </w:r>
      <w:r w:rsidR="00177228" w:rsidRPr="00E65E18">
        <w:t>Marquez</w:t>
      </w:r>
      <w:r w:rsidR="00FD7642">
        <w:t>)</w:t>
      </w:r>
      <w:r w:rsidR="00FE58BF">
        <w:t xml:space="preserve">. </w:t>
      </w:r>
    </w:p>
    <w:p w14:paraId="612BE3A3" w14:textId="3428195D" w:rsidR="00DF5890" w:rsidRDefault="00DF5890" w:rsidP="00923A34">
      <w:pPr>
        <w:pStyle w:val="ListParagraph"/>
        <w:numPr>
          <w:ilvl w:val="0"/>
          <w:numId w:val="2"/>
        </w:numPr>
        <w:spacing w:line="480" w:lineRule="auto"/>
        <w:ind w:left="0" w:firstLine="720"/>
        <w:jc w:val="both"/>
      </w:pPr>
      <w:r>
        <w:t xml:space="preserve">IPANM also pointed out that operators will have to comply with the GPS and date- and time-stamp requirements on April 2, 2023, but that they will not receive a list of approved technologies until January 1, 2023. </w:t>
      </w:r>
      <w:r w:rsidRPr="007C28B9">
        <w:t xml:space="preserve">Tr. Vol. </w:t>
      </w:r>
      <w:r>
        <w:t>5</w:t>
      </w:r>
      <w:r w:rsidRPr="007C28B9">
        <w:t xml:space="preserve">, </w:t>
      </w:r>
      <w:r>
        <w:t>1437:4-15 (Brown)</w:t>
      </w:r>
      <w:r w:rsidRPr="007C28B9">
        <w:t>.</w:t>
      </w:r>
      <w:r>
        <w:t xml:space="preserve">  </w:t>
      </w:r>
    </w:p>
    <w:p w14:paraId="0161E6CC" w14:textId="62D0A266" w:rsidR="005C4567" w:rsidRDefault="005C4567" w:rsidP="00923A34">
      <w:pPr>
        <w:pStyle w:val="ListParagraph"/>
        <w:numPr>
          <w:ilvl w:val="0"/>
          <w:numId w:val="2"/>
        </w:numPr>
        <w:spacing w:line="480" w:lineRule="auto"/>
        <w:ind w:left="0" w:firstLine="720"/>
        <w:jc w:val="both"/>
      </w:pPr>
      <w:r>
        <w:t xml:space="preserve">IPANM further </w:t>
      </w:r>
      <w:r w:rsidR="003078C0">
        <w:t>explained</w:t>
      </w:r>
      <w:r>
        <w:t xml:space="preserve"> </w:t>
      </w:r>
      <w:r w:rsidR="00606ED9">
        <w:t xml:space="preserve">that the submission and date- and time-stamp data requires a mobile application for that data to be uploaded into web-based software. </w:t>
      </w:r>
      <w:r w:rsidR="00606ED9" w:rsidRPr="007C28B9">
        <w:t xml:space="preserve">Tr. Vol. </w:t>
      </w:r>
      <w:r w:rsidR="00606ED9">
        <w:t>5</w:t>
      </w:r>
      <w:r w:rsidR="00606ED9" w:rsidRPr="007C28B9">
        <w:t xml:space="preserve">, </w:t>
      </w:r>
      <w:r w:rsidR="00606ED9">
        <w:t>1437:22-1428:1 (Brown)</w:t>
      </w:r>
      <w:r w:rsidR="00606ED9" w:rsidRPr="007C28B9">
        <w:t>.</w:t>
      </w:r>
      <w:r w:rsidR="00606ED9">
        <w:t xml:space="preserve">  This process </w:t>
      </w:r>
      <w:r w:rsidR="00177228">
        <w:t>is</w:t>
      </w:r>
      <w:r w:rsidR="009964B6">
        <w:t xml:space="preserve"> </w:t>
      </w:r>
      <w:r w:rsidR="00606ED9">
        <w:t xml:space="preserve">time-intensive, expensive, and will require the services of outside consultants for members of IPANM. </w:t>
      </w:r>
      <w:r w:rsidR="00606ED9" w:rsidRPr="007C28B9">
        <w:t xml:space="preserve">Tr. Vol. </w:t>
      </w:r>
      <w:r w:rsidR="00606ED9">
        <w:t>5</w:t>
      </w:r>
      <w:r w:rsidR="00606ED9" w:rsidRPr="007C28B9">
        <w:t xml:space="preserve">, </w:t>
      </w:r>
      <w:r w:rsidR="00606ED9">
        <w:t xml:space="preserve">1438:2-10 (Brown). </w:t>
      </w:r>
    </w:p>
    <w:p w14:paraId="46A01C10" w14:textId="79BD39EC" w:rsidR="002E59BB" w:rsidRDefault="002E59BB" w:rsidP="00923A34">
      <w:pPr>
        <w:pStyle w:val="ListParagraph"/>
        <w:numPr>
          <w:ilvl w:val="0"/>
          <w:numId w:val="2"/>
        </w:numPr>
        <w:spacing w:line="480" w:lineRule="auto"/>
        <w:ind w:left="0" w:firstLine="720"/>
        <w:jc w:val="both"/>
      </w:pPr>
      <w:r>
        <w:t xml:space="preserve">Small companies with limited well production will face difficulties with developing a compliance database system if they have not uploaded their data to a central data server or do not have one in place. </w:t>
      </w:r>
      <w:r w:rsidRPr="007C28B9">
        <w:t xml:space="preserve">Tr. Vol. </w:t>
      </w:r>
      <w:r>
        <w:t>5</w:t>
      </w:r>
      <w:r w:rsidRPr="007C28B9">
        <w:t xml:space="preserve">, </w:t>
      </w:r>
      <w:r>
        <w:t>1439:12-17 (Brown).</w:t>
      </w:r>
    </w:p>
    <w:p w14:paraId="6B64073F" w14:textId="242BD023" w:rsidR="00700261" w:rsidRDefault="00700261" w:rsidP="00923A34">
      <w:pPr>
        <w:pStyle w:val="ListParagraph"/>
        <w:numPr>
          <w:ilvl w:val="0"/>
          <w:numId w:val="2"/>
        </w:numPr>
        <w:spacing w:line="480" w:lineRule="auto"/>
        <w:ind w:left="0" w:firstLine="720"/>
        <w:jc w:val="both"/>
      </w:pPr>
      <w:r>
        <w:t xml:space="preserve">IPANM also requested a compliance database exception for companies that have limited reporting requirements; in lieu of a database, they may produce a written or electronic record of the data and time of the affected monitoring event. </w:t>
      </w:r>
      <w:r w:rsidRPr="007C28B9">
        <w:t xml:space="preserve">Tr. Vol. </w:t>
      </w:r>
      <w:r>
        <w:t>5</w:t>
      </w:r>
      <w:r w:rsidRPr="007C28B9">
        <w:t xml:space="preserve">, </w:t>
      </w:r>
      <w:r>
        <w:t>1439:18-1440:12 (Brown).</w:t>
      </w:r>
    </w:p>
    <w:p w14:paraId="0EAFFC79" w14:textId="40BCA2FB" w:rsidR="00606ED9" w:rsidRDefault="00606ED9" w:rsidP="00923A34">
      <w:pPr>
        <w:pStyle w:val="ListParagraph"/>
        <w:numPr>
          <w:ilvl w:val="0"/>
          <w:numId w:val="2"/>
        </w:numPr>
        <w:spacing w:line="480" w:lineRule="auto"/>
        <w:ind w:left="0" w:firstLine="720"/>
        <w:jc w:val="both"/>
      </w:pPr>
      <w:r>
        <w:lastRenderedPageBreak/>
        <w:t>While IPANM laud</w:t>
      </w:r>
      <w:r w:rsidR="000D20C7">
        <w:t>ed</w:t>
      </w:r>
      <w:r>
        <w:t xml:space="preserve"> the Department’s efforts to investigate the compliance reporting systems that some operators may already have in place, </w:t>
      </w:r>
      <w:r w:rsidR="002E59BB">
        <w:t>four months is not enough time for operators to comply</w:t>
      </w:r>
      <w:r w:rsidR="000D20C7">
        <w:t xml:space="preserve"> with the implementation of Section 112</w:t>
      </w:r>
      <w:r w:rsidR="002E59BB">
        <w:t xml:space="preserve">.  </w:t>
      </w:r>
      <w:r w:rsidR="002E59BB" w:rsidRPr="002E59BB">
        <w:t xml:space="preserve">Tr. Vol. 5, </w:t>
      </w:r>
      <w:r w:rsidR="002E59BB">
        <w:t xml:space="preserve">1438:2-8 </w:t>
      </w:r>
      <w:r w:rsidR="002E59BB" w:rsidRPr="002E59BB">
        <w:t xml:space="preserve">(Brown).  </w:t>
      </w:r>
    </w:p>
    <w:p w14:paraId="00B2BB31" w14:textId="6C2B3F71" w:rsidR="002E59BB" w:rsidRDefault="002E59BB" w:rsidP="00923A34">
      <w:pPr>
        <w:pStyle w:val="ListParagraph"/>
        <w:numPr>
          <w:ilvl w:val="0"/>
          <w:numId w:val="2"/>
        </w:numPr>
        <w:spacing w:line="480" w:lineRule="auto"/>
        <w:ind w:left="0" w:firstLine="720"/>
        <w:jc w:val="both"/>
      </w:pPr>
      <w:r>
        <w:t>IPANM request</w:t>
      </w:r>
      <w:r w:rsidR="009964B6">
        <w:t>ed</w:t>
      </w:r>
      <w:r>
        <w:t xml:space="preserve"> that Section 112 be implemented after January 1, </w:t>
      </w:r>
      <w:r w:rsidR="004C2024">
        <w:t>202</w:t>
      </w:r>
      <w:r w:rsidR="009964B6">
        <w:t>5</w:t>
      </w:r>
      <w:r>
        <w:t xml:space="preserve">. </w:t>
      </w:r>
      <w:r w:rsidRPr="007C28B9">
        <w:t xml:space="preserve">Tr. Vol. </w:t>
      </w:r>
      <w:r>
        <w:t>5</w:t>
      </w:r>
      <w:r w:rsidRPr="007C28B9">
        <w:t xml:space="preserve">, </w:t>
      </w:r>
      <w:r>
        <w:t>1439:9-11 (Brown)</w:t>
      </w:r>
      <w:r w:rsidRPr="007C28B9">
        <w:t>.</w:t>
      </w:r>
      <w:r>
        <w:t xml:space="preserve">  </w:t>
      </w:r>
    </w:p>
    <w:p w14:paraId="52C794D4" w14:textId="3203E29C" w:rsidR="0020037B" w:rsidRDefault="0020037B" w:rsidP="00923A34">
      <w:pPr>
        <w:pStyle w:val="ListParagraph"/>
        <w:numPr>
          <w:ilvl w:val="0"/>
          <w:numId w:val="2"/>
        </w:numPr>
        <w:spacing w:line="480" w:lineRule="auto"/>
        <w:ind w:left="0" w:firstLine="720"/>
        <w:jc w:val="both"/>
      </w:pPr>
      <w:r>
        <w:t>The Department agree</w:t>
      </w:r>
      <w:r w:rsidR="00177228">
        <w:t>d</w:t>
      </w:r>
      <w:r>
        <w:t xml:space="preserve"> to extend the timeframe to implement the GPS and date- and time-stamp requirements. </w:t>
      </w:r>
      <w:r w:rsidRPr="007C28B9">
        <w:t xml:space="preserve">Tr. Vol. </w:t>
      </w:r>
      <w:r>
        <w:t>5</w:t>
      </w:r>
      <w:r w:rsidRPr="007C28B9">
        <w:t xml:space="preserve">, </w:t>
      </w:r>
      <w:r>
        <w:t>1582:14-17 (Bisbey-Kuehn)</w:t>
      </w:r>
    </w:p>
    <w:p w14:paraId="4C23579F" w14:textId="78F31C6F" w:rsidR="00E56AB4" w:rsidRDefault="000D20C7" w:rsidP="00BA22A9">
      <w:pPr>
        <w:pStyle w:val="ListParagraph"/>
        <w:numPr>
          <w:ilvl w:val="0"/>
          <w:numId w:val="2"/>
        </w:numPr>
        <w:spacing w:line="480" w:lineRule="auto"/>
        <w:ind w:left="0" w:firstLine="720"/>
        <w:jc w:val="both"/>
      </w:pPr>
      <w:r>
        <w:t xml:space="preserve">Mr. Brown </w:t>
      </w:r>
      <w:r w:rsidR="00E56AB4">
        <w:t xml:space="preserve">also testified that the third-party audit </w:t>
      </w:r>
      <w:r w:rsidR="009964B6">
        <w:t>would</w:t>
      </w:r>
      <w:r w:rsidR="00E56AB4">
        <w:t xml:space="preserve"> require the </w:t>
      </w:r>
      <w:r w:rsidR="003078C0">
        <w:t>dedication</w:t>
      </w:r>
      <w:r w:rsidR="00E56AB4">
        <w:t xml:space="preserve"> of company resources</w:t>
      </w:r>
      <w:r w:rsidR="0084081C">
        <w:t xml:space="preserve"> and employees</w:t>
      </w:r>
      <w:r w:rsidR="00E56AB4">
        <w:t xml:space="preserve"> to assist the auditor and </w:t>
      </w:r>
      <w:r w:rsidR="00033141">
        <w:t>could interfere with</w:t>
      </w:r>
      <w:r w:rsidR="00E56AB4">
        <w:t xml:space="preserve"> their normal business</w:t>
      </w:r>
      <w:r w:rsidR="0084081C">
        <w:t xml:space="preserve"> and responsibilities</w:t>
      </w:r>
      <w:r w:rsidR="00E56AB4">
        <w:t xml:space="preserve">. See </w:t>
      </w:r>
      <w:r w:rsidR="00E56AB4" w:rsidRPr="007C28B9">
        <w:t xml:space="preserve">Tr. Vol. </w:t>
      </w:r>
      <w:r w:rsidR="00E56AB4">
        <w:t>5</w:t>
      </w:r>
      <w:r w:rsidR="00E56AB4" w:rsidRPr="007C28B9">
        <w:t xml:space="preserve">, </w:t>
      </w:r>
      <w:r w:rsidR="00E56AB4">
        <w:t>1441:1-6 (Brown).</w:t>
      </w:r>
    </w:p>
    <w:p w14:paraId="768EF572" w14:textId="77555580" w:rsidR="0080168C" w:rsidRDefault="0080168C" w:rsidP="0080168C">
      <w:pPr>
        <w:pStyle w:val="ListParagraph"/>
        <w:numPr>
          <w:ilvl w:val="0"/>
          <w:numId w:val="2"/>
        </w:numPr>
        <w:spacing w:line="480" w:lineRule="auto"/>
        <w:ind w:left="0" w:firstLine="720"/>
        <w:jc w:val="both"/>
      </w:pPr>
      <w:r>
        <w:t xml:space="preserve">The third-party audit relates to data and information that is prepared in the database report that the Department may request under the proposed </w:t>
      </w:r>
      <w:r w:rsidR="0057555C">
        <w:t>Ozone Rule</w:t>
      </w:r>
      <w:r>
        <w:t xml:space="preserve">. </w:t>
      </w:r>
      <w:r w:rsidRPr="007C28B9">
        <w:t xml:space="preserve">Tr. Vol. </w:t>
      </w:r>
      <w:r>
        <w:t>5</w:t>
      </w:r>
      <w:r w:rsidRPr="007C28B9">
        <w:t xml:space="preserve">, </w:t>
      </w:r>
      <w:r>
        <w:t>1460:8-13 (Bisbey-Kuehn)</w:t>
      </w:r>
      <w:r w:rsidRPr="007C28B9">
        <w:t>.</w:t>
      </w:r>
      <w:r>
        <w:t xml:space="preserve">  </w:t>
      </w:r>
    </w:p>
    <w:p w14:paraId="15C53CBF" w14:textId="7C62D840" w:rsidR="00E56AB4" w:rsidRDefault="00E56AB4" w:rsidP="00BA22A9">
      <w:pPr>
        <w:pStyle w:val="ListParagraph"/>
        <w:numPr>
          <w:ilvl w:val="0"/>
          <w:numId w:val="2"/>
        </w:numPr>
        <w:spacing w:line="480" w:lineRule="auto"/>
        <w:ind w:left="0" w:firstLine="720"/>
        <w:jc w:val="both"/>
      </w:pPr>
      <w:r>
        <w:t xml:space="preserve">IPANM proposed that a third-party audit be conducted only in cases of probable extensive noncompliance. </w:t>
      </w:r>
      <w:r w:rsidRPr="007C28B9">
        <w:t xml:space="preserve">Tr. Vol. </w:t>
      </w:r>
      <w:r>
        <w:t>5</w:t>
      </w:r>
      <w:r w:rsidRPr="007C28B9">
        <w:t xml:space="preserve">, </w:t>
      </w:r>
      <w:r>
        <w:t>1441:7-9 (Brown).</w:t>
      </w:r>
    </w:p>
    <w:p w14:paraId="770F0722" w14:textId="52795EF7" w:rsidR="0084081C" w:rsidRDefault="0084081C" w:rsidP="00BA22A9">
      <w:pPr>
        <w:pStyle w:val="ListParagraph"/>
        <w:numPr>
          <w:ilvl w:val="0"/>
          <w:numId w:val="2"/>
        </w:numPr>
        <w:spacing w:line="480" w:lineRule="auto"/>
        <w:ind w:left="0" w:firstLine="720"/>
        <w:jc w:val="both"/>
      </w:pPr>
      <w:r>
        <w:t xml:space="preserve">NMED responded that </w:t>
      </w:r>
      <w:r w:rsidR="00197D1B">
        <w:t xml:space="preserve">it is inappropriate for the certification to address only major instances of </w:t>
      </w:r>
      <w:r w:rsidR="009964B6">
        <w:t>non</w:t>
      </w:r>
      <w:r w:rsidR="00197D1B">
        <w:t xml:space="preserve">compliance, as the intent is to compile monitoring records of the owner and operator requirements outlined in Part 50. </w:t>
      </w:r>
      <w:r w:rsidR="0080168C">
        <w:t xml:space="preserve"> </w:t>
      </w:r>
      <w:r w:rsidR="00197D1B" w:rsidRPr="0080168C">
        <w:rPr>
          <w:i/>
          <w:iCs/>
        </w:rPr>
        <w:t>See</w:t>
      </w:r>
      <w:r w:rsidR="00197D1B" w:rsidRPr="00197D1B">
        <w:t xml:space="preserve"> Tr. Vol. 5, 1</w:t>
      </w:r>
      <w:r w:rsidR="00197D1B">
        <w:t xml:space="preserve">586:8-19 </w:t>
      </w:r>
      <w:r w:rsidR="00197D1B" w:rsidRPr="00197D1B">
        <w:t xml:space="preserve">(Bisbey-Kuehn).  </w:t>
      </w:r>
    </w:p>
    <w:p w14:paraId="6EA41D27" w14:textId="2196D86B" w:rsidR="00197D1B" w:rsidRDefault="00197D1B" w:rsidP="00197D1B">
      <w:pPr>
        <w:pStyle w:val="ListParagraph"/>
        <w:numPr>
          <w:ilvl w:val="0"/>
          <w:numId w:val="2"/>
        </w:numPr>
        <w:spacing w:line="480" w:lineRule="auto"/>
        <w:ind w:left="0" w:firstLine="720"/>
        <w:jc w:val="both"/>
      </w:pPr>
      <w:r>
        <w:t xml:space="preserve">However, NMED’s </w:t>
      </w:r>
      <w:r w:rsidR="009268DC">
        <w:t xml:space="preserve">rationale overlooks </w:t>
      </w:r>
      <w:r>
        <w:t xml:space="preserve">companies that have limited reporting </w:t>
      </w:r>
      <w:r w:rsidR="003078C0">
        <w:t>capabilities</w:t>
      </w:r>
      <w:r w:rsidR="009268DC">
        <w:t xml:space="preserve">.  </w:t>
      </w:r>
      <w:r w:rsidRPr="007C28B9">
        <w:t xml:space="preserve">Tr. Vol. </w:t>
      </w:r>
      <w:r>
        <w:t>5</w:t>
      </w:r>
      <w:r w:rsidRPr="007C28B9">
        <w:t xml:space="preserve">, </w:t>
      </w:r>
      <w:r>
        <w:t>1439:18-1440:12 (Brown).</w:t>
      </w:r>
    </w:p>
    <w:p w14:paraId="45808611" w14:textId="76DA6A1F" w:rsidR="00197D1B" w:rsidRDefault="009268DC" w:rsidP="00BA22A9">
      <w:pPr>
        <w:pStyle w:val="ListParagraph"/>
        <w:numPr>
          <w:ilvl w:val="0"/>
          <w:numId w:val="2"/>
        </w:numPr>
        <w:spacing w:line="480" w:lineRule="auto"/>
        <w:ind w:left="0" w:firstLine="720"/>
        <w:jc w:val="both"/>
      </w:pPr>
      <w:r>
        <w:t xml:space="preserve">The Department, nevertheless, stated that entities meeting the criteria of a small business facility are not required to prepare a CDR. </w:t>
      </w:r>
      <w:r w:rsidRPr="007C28B9">
        <w:t xml:space="preserve">Tr. Vol. </w:t>
      </w:r>
      <w:r>
        <w:t>5</w:t>
      </w:r>
      <w:r w:rsidRPr="007C28B9">
        <w:t xml:space="preserve">, </w:t>
      </w:r>
      <w:r>
        <w:t xml:space="preserve">1439:1586:20-21 (Bisbey-Kuehn). </w:t>
      </w:r>
    </w:p>
    <w:p w14:paraId="55AA9747" w14:textId="59464B67" w:rsidR="00284D8B" w:rsidRDefault="00284D8B" w:rsidP="00BA22A9">
      <w:pPr>
        <w:pStyle w:val="ListParagraph"/>
        <w:numPr>
          <w:ilvl w:val="0"/>
          <w:numId w:val="2"/>
        </w:numPr>
        <w:spacing w:line="480" w:lineRule="auto"/>
        <w:ind w:left="0" w:firstLine="720"/>
        <w:jc w:val="both"/>
      </w:pPr>
      <w:r>
        <w:lastRenderedPageBreak/>
        <w:t xml:space="preserve">When queried by Chair Suina regarding industry’s concerns about additional costs brought about Section 112, the Department dismissed them, stating that demonstrating compliance is essential to </w:t>
      </w:r>
      <w:r w:rsidR="008D0FA5">
        <w:t xml:space="preserve">meeting </w:t>
      </w:r>
      <w:r>
        <w:t xml:space="preserve">emission standards. </w:t>
      </w:r>
      <w:r w:rsidRPr="008569ED">
        <w:rPr>
          <w:i/>
          <w:iCs/>
        </w:rPr>
        <w:t>See</w:t>
      </w:r>
      <w:r>
        <w:t xml:space="preserve"> </w:t>
      </w:r>
      <w:r w:rsidRPr="00284D8B">
        <w:t xml:space="preserve">Tr. Vol. 5, </w:t>
      </w:r>
      <w:r>
        <w:t xml:space="preserve">1377: 6-9, 17-22 </w:t>
      </w:r>
      <w:r w:rsidRPr="00284D8B">
        <w:t xml:space="preserve">(Bisbey-Kuehn).  </w:t>
      </w:r>
    </w:p>
    <w:p w14:paraId="4A540CC5" w14:textId="1CFEA03D" w:rsidR="00AC7F24" w:rsidRDefault="00AC7F24" w:rsidP="00BA22A9">
      <w:pPr>
        <w:pStyle w:val="ListParagraph"/>
        <w:numPr>
          <w:ilvl w:val="0"/>
          <w:numId w:val="2"/>
        </w:numPr>
        <w:spacing w:line="480" w:lineRule="auto"/>
        <w:ind w:left="0" w:firstLine="720"/>
        <w:jc w:val="both"/>
      </w:pPr>
      <w:r>
        <w:t>When questioned by Vice-Cha</w:t>
      </w:r>
      <w:r w:rsidR="008569ED">
        <w:t>ir</w:t>
      </w:r>
      <w:r>
        <w:t xml:space="preserve"> Trujillo-Davis about whether it is the intent of the Department for operators to hire more employees </w:t>
      </w:r>
      <w:r w:rsidR="008569ED">
        <w:t xml:space="preserve">dedicated to </w:t>
      </w:r>
      <w:r>
        <w:t>inspection</w:t>
      </w:r>
      <w:r w:rsidR="008569ED">
        <w:t>s</w:t>
      </w:r>
      <w:r>
        <w:t xml:space="preserve">, the Department </w:t>
      </w:r>
      <w:r w:rsidR="008569ED">
        <w:t>confirmed that it “may be the reality” that hiring employees may be necessary for some owners and operators.</w:t>
      </w:r>
      <w:r w:rsidR="0068109D">
        <w:t xml:space="preserve"> </w:t>
      </w:r>
      <w:r w:rsidR="008569ED">
        <w:t xml:space="preserve"> </w:t>
      </w:r>
      <w:r w:rsidR="008569ED" w:rsidRPr="008569ED">
        <w:rPr>
          <w:i/>
          <w:iCs/>
        </w:rPr>
        <w:t>See</w:t>
      </w:r>
      <w:r w:rsidR="008569ED">
        <w:t xml:space="preserve"> </w:t>
      </w:r>
      <w:r w:rsidR="008569ED" w:rsidRPr="00284D8B">
        <w:t xml:space="preserve">Tr. Vol. 5, </w:t>
      </w:r>
      <w:r w:rsidR="008569ED">
        <w:t xml:space="preserve">1377: 18-25 </w:t>
      </w:r>
      <w:r w:rsidR="008569ED" w:rsidRPr="00284D8B">
        <w:t xml:space="preserve">(Bisbey-Kuehn).  </w:t>
      </w:r>
    </w:p>
    <w:p w14:paraId="352A8A13" w14:textId="2D9C2A9C" w:rsidR="00BE49BA" w:rsidRDefault="00284D8B" w:rsidP="0065354F">
      <w:pPr>
        <w:pStyle w:val="ListParagraph"/>
        <w:numPr>
          <w:ilvl w:val="0"/>
          <w:numId w:val="2"/>
        </w:numPr>
        <w:spacing w:line="480" w:lineRule="auto"/>
        <w:ind w:left="0" w:firstLine="720"/>
        <w:jc w:val="both"/>
      </w:pPr>
      <w:r>
        <w:t>The Department</w:t>
      </w:r>
      <w:r w:rsidR="0080168C">
        <w:t xml:space="preserve"> </w:t>
      </w:r>
      <w:r>
        <w:t>intends to</w:t>
      </w:r>
      <w:r w:rsidR="00037F32">
        <w:t xml:space="preserve"> hire contractors that will</w:t>
      </w:r>
      <w:r>
        <w:t xml:space="preserve"> </w:t>
      </w:r>
      <w:r w:rsidR="00037F32">
        <w:t xml:space="preserve">develop </w:t>
      </w:r>
      <w:r>
        <w:t>a template</w:t>
      </w:r>
      <w:r w:rsidR="008D0FA5">
        <w:t xml:space="preserve"> </w:t>
      </w:r>
      <w:r w:rsidR="00037F32">
        <w:t>to assist s</w:t>
      </w:r>
      <w:r w:rsidR="008D0FA5">
        <w:t>mall operators</w:t>
      </w:r>
      <w:r>
        <w:t xml:space="preserve"> </w:t>
      </w:r>
      <w:r w:rsidR="00037F32">
        <w:t xml:space="preserve">with </w:t>
      </w:r>
      <w:r>
        <w:t xml:space="preserve">database </w:t>
      </w:r>
      <w:r w:rsidR="008D0FA5">
        <w:t xml:space="preserve">management. </w:t>
      </w:r>
      <w:r w:rsidR="008D0FA5" w:rsidRPr="007C28B9">
        <w:t xml:space="preserve">Tr. Vol. </w:t>
      </w:r>
      <w:r w:rsidR="008D0FA5">
        <w:t>5</w:t>
      </w:r>
      <w:r w:rsidR="008D0FA5" w:rsidRPr="007C28B9">
        <w:t xml:space="preserve">, </w:t>
      </w:r>
      <w:r w:rsidR="008D0FA5">
        <w:t>1378:12-17</w:t>
      </w:r>
      <w:r w:rsidR="00037F32">
        <w:t>; 1420:14-1421:10</w:t>
      </w:r>
      <w:r w:rsidR="008D0FA5">
        <w:t xml:space="preserve"> (Bisbey-Kuehn)</w:t>
      </w:r>
      <w:r w:rsidR="008D0FA5" w:rsidRPr="007C28B9">
        <w:t>.</w:t>
      </w:r>
      <w:r w:rsidR="008D0FA5">
        <w:t xml:space="preserve">  </w:t>
      </w:r>
    </w:p>
    <w:p w14:paraId="01F95BE6" w14:textId="4F4AA514" w:rsidR="0041608A" w:rsidRPr="00BA22A9" w:rsidRDefault="0041608A" w:rsidP="00392EB0">
      <w:pPr>
        <w:pStyle w:val="ListParagraph"/>
        <w:numPr>
          <w:ilvl w:val="0"/>
          <w:numId w:val="2"/>
        </w:numPr>
        <w:spacing w:after="0" w:line="480" w:lineRule="auto"/>
        <w:ind w:left="0" w:firstLine="720"/>
        <w:jc w:val="both"/>
      </w:pPr>
      <w:r w:rsidRPr="00BA22A9">
        <w:t xml:space="preserve">Based on the evidence presented, the </w:t>
      </w:r>
      <w:r w:rsidR="00A62BD1">
        <w:t>Board</w:t>
      </w:r>
      <w:r w:rsidRPr="00BA22A9">
        <w:t xml:space="preserve"> finds that the EMT requirement, CDR requirement, and third-party audit provision are </w:t>
      </w:r>
      <w:r w:rsidR="00291853">
        <w:t xml:space="preserve">each </w:t>
      </w:r>
      <w:r w:rsidR="000D20C7">
        <w:t>overly burdensome and unnecessary for compliance</w:t>
      </w:r>
      <w:r w:rsidRPr="00BA22A9">
        <w:t xml:space="preserve"> and should each be removed from </w:t>
      </w:r>
      <w:r w:rsidR="00B05428" w:rsidRPr="00BA22A9">
        <w:t>Part 50.</w:t>
      </w:r>
    </w:p>
    <w:p w14:paraId="78A105E2" w14:textId="2EC5866B" w:rsidR="00425039" w:rsidRPr="00425039" w:rsidRDefault="00425039" w:rsidP="00A61B8B">
      <w:pPr>
        <w:pStyle w:val="Heading2"/>
      </w:pPr>
      <w:bookmarkStart w:id="15" w:name="_Toc93581893"/>
      <w:r>
        <w:t>20.2.50.113 Engines and Turbines</w:t>
      </w:r>
      <w:bookmarkEnd w:id="15"/>
    </w:p>
    <w:p w14:paraId="7F431DC4" w14:textId="6DF37317" w:rsidR="002F3B50" w:rsidRDefault="002F3B50" w:rsidP="00C0786B">
      <w:pPr>
        <w:pStyle w:val="ListParagraph"/>
        <w:numPr>
          <w:ilvl w:val="0"/>
          <w:numId w:val="2"/>
        </w:numPr>
        <w:spacing w:line="480" w:lineRule="auto"/>
        <w:ind w:left="0" w:firstLine="720"/>
        <w:jc w:val="both"/>
      </w:pPr>
      <w:r>
        <w:t>NMED propose</w:t>
      </w:r>
      <w:r w:rsidR="00A562CE">
        <w:t>d</w:t>
      </w:r>
      <w:r w:rsidR="00C77250">
        <w:t xml:space="preserve"> a timeline for existing spark ignited engines to meet new emission limits.  </w:t>
      </w:r>
      <w:r w:rsidR="00C77250">
        <w:rPr>
          <w:b/>
          <w:bCs/>
        </w:rPr>
        <w:t>NMED Ex. 32</w:t>
      </w:r>
      <w:r w:rsidR="00C77250">
        <w:t xml:space="preserve"> at 36 (</w:t>
      </w:r>
      <w:r w:rsidR="006D7452">
        <w:t>Bisbey-Kuehn</w:t>
      </w:r>
      <w:r w:rsidR="00C77250">
        <w:t>/Palmer Direct).  NMED believe</w:t>
      </w:r>
      <w:r w:rsidR="00A562CE">
        <w:t>d</w:t>
      </w:r>
      <w:r w:rsidR="00C77250">
        <w:t xml:space="preserve"> the </w:t>
      </w:r>
      <w:r w:rsidR="00A562CE">
        <w:t xml:space="preserve">proposed </w:t>
      </w:r>
      <w:r w:rsidR="00C77250">
        <w:t xml:space="preserve">timeline </w:t>
      </w:r>
      <w:r w:rsidR="00481013">
        <w:t>allowed</w:t>
      </w:r>
      <w:r w:rsidR="00C77250">
        <w:t xml:space="preserve"> owners and operators enough time to come into compliance with the requirements.  </w:t>
      </w:r>
      <w:r w:rsidR="00C77250" w:rsidRPr="005C793C">
        <w:rPr>
          <w:b/>
          <w:bCs/>
          <w:i/>
          <w:iCs/>
        </w:rPr>
        <w:t>Id.</w:t>
      </w:r>
      <w:r w:rsidR="00C77250">
        <w:t xml:space="preserve"> </w:t>
      </w:r>
    </w:p>
    <w:p w14:paraId="75ACFFC3" w14:textId="328670F9" w:rsidR="00C77250" w:rsidRDefault="00C77250" w:rsidP="00C0786B">
      <w:pPr>
        <w:pStyle w:val="ListParagraph"/>
        <w:numPr>
          <w:ilvl w:val="0"/>
          <w:numId w:val="2"/>
        </w:numPr>
        <w:spacing w:line="480" w:lineRule="auto"/>
        <w:ind w:left="0" w:firstLine="720"/>
        <w:jc w:val="both"/>
      </w:pPr>
      <w:r>
        <w:t>Instead of meeting emission limits, owners and operators are permitted to reduce the number of hours of operation of a certain piece of equipment to reduce emission rat</w:t>
      </w:r>
      <w:r w:rsidR="00010667">
        <w:t>e</w:t>
      </w:r>
      <w:r>
        <w:t xml:space="preserve">s.  </w:t>
      </w:r>
      <w:r>
        <w:rPr>
          <w:b/>
          <w:bCs/>
        </w:rPr>
        <w:t>NMED Ex. 32</w:t>
      </w:r>
      <w:r>
        <w:t xml:space="preserve"> at 36 (</w:t>
      </w:r>
      <w:r w:rsidR="006D7452">
        <w:t>Bisbey-Kuehn</w:t>
      </w:r>
      <w:r>
        <w:t>/Palmer Direct).</w:t>
      </w:r>
    </w:p>
    <w:p w14:paraId="21BF21C8" w14:textId="743D2B18" w:rsidR="00C77250" w:rsidRDefault="00C77250" w:rsidP="00C0786B">
      <w:pPr>
        <w:pStyle w:val="ListParagraph"/>
        <w:numPr>
          <w:ilvl w:val="0"/>
          <w:numId w:val="2"/>
        </w:numPr>
        <w:spacing w:line="480" w:lineRule="auto"/>
        <w:ind w:left="0" w:firstLine="720"/>
        <w:jc w:val="both"/>
      </w:pPr>
      <w:r>
        <w:t xml:space="preserve">New spark ignited engines must meet the emission limit upon their placement into service.  </w:t>
      </w:r>
      <w:r>
        <w:rPr>
          <w:b/>
          <w:bCs/>
        </w:rPr>
        <w:t>NMED Ex. 32</w:t>
      </w:r>
      <w:r>
        <w:t xml:space="preserve"> at 36 (</w:t>
      </w:r>
      <w:r w:rsidR="006D7452">
        <w:t>Bisbey-Kuehn</w:t>
      </w:r>
      <w:r>
        <w:t>/Palmer Direct).</w:t>
      </w:r>
    </w:p>
    <w:p w14:paraId="1AE88E1D" w14:textId="37E676EA" w:rsidR="00C77250" w:rsidRDefault="00C77250" w:rsidP="00C0786B">
      <w:pPr>
        <w:pStyle w:val="ListParagraph"/>
        <w:numPr>
          <w:ilvl w:val="0"/>
          <w:numId w:val="2"/>
        </w:numPr>
        <w:spacing w:line="480" w:lineRule="auto"/>
        <w:ind w:left="0" w:firstLine="720"/>
        <w:jc w:val="both"/>
      </w:pPr>
      <w:r>
        <w:lastRenderedPageBreak/>
        <w:t xml:space="preserve">The proposed emission limits </w:t>
      </w:r>
      <w:r w:rsidR="00A562CE">
        <w:t>were</w:t>
      </w:r>
      <w:r>
        <w:t xml:space="preserve"> based on programs in other states including Pennsylvania, Ohio</w:t>
      </w:r>
      <w:r w:rsidR="00A562CE">
        <w:t>,</w:t>
      </w:r>
      <w:r>
        <w:t xml:space="preserve"> and California.  </w:t>
      </w:r>
      <w:r>
        <w:rPr>
          <w:b/>
          <w:bCs/>
        </w:rPr>
        <w:t xml:space="preserve">NMED Ex. 32 </w:t>
      </w:r>
      <w:r>
        <w:t>at 37-48 (</w:t>
      </w:r>
      <w:r w:rsidR="006D7452">
        <w:t>Bisbey-Kuehn</w:t>
      </w:r>
      <w:r>
        <w:t>/Palmer Direct).</w:t>
      </w:r>
    </w:p>
    <w:p w14:paraId="1C258804" w14:textId="4818F470" w:rsidR="006348A7" w:rsidRDefault="00425039" w:rsidP="00C0786B">
      <w:pPr>
        <w:pStyle w:val="ListParagraph"/>
        <w:numPr>
          <w:ilvl w:val="0"/>
          <w:numId w:val="2"/>
        </w:numPr>
        <w:spacing w:line="480" w:lineRule="auto"/>
        <w:ind w:left="0" w:firstLine="720"/>
        <w:jc w:val="both"/>
      </w:pPr>
      <w:r>
        <w:t xml:space="preserve">NPS </w:t>
      </w:r>
      <w:r w:rsidR="00A562CE">
        <w:t>proposed</w:t>
      </w:r>
      <w:r w:rsidR="002825F0">
        <w:t xml:space="preserve"> that lower NOx engine emission limits should be adopted based on regulations adopted in Pennsylvania.  NPS, Summary of Technical Testimony to New Mexico Regarding the Proposed Ozone Precursor Rule, 2; </w:t>
      </w:r>
      <w:r w:rsidR="002825F0">
        <w:rPr>
          <w:b/>
          <w:bCs/>
        </w:rPr>
        <w:t>IPANM Ex. 12</w:t>
      </w:r>
      <w:r w:rsidR="002825F0">
        <w:t xml:space="preserve"> at 17</w:t>
      </w:r>
      <w:r w:rsidR="00D10A34">
        <w:t xml:space="preserve"> (Blewitt Rebuttal)</w:t>
      </w:r>
      <w:r w:rsidR="002825F0">
        <w:t xml:space="preserve">. </w:t>
      </w:r>
    </w:p>
    <w:p w14:paraId="7EAFBC03" w14:textId="26D2F999" w:rsidR="002825F0" w:rsidRDefault="00D10A34" w:rsidP="00C0786B">
      <w:pPr>
        <w:pStyle w:val="ListParagraph"/>
        <w:numPr>
          <w:ilvl w:val="0"/>
          <w:numId w:val="2"/>
        </w:numPr>
        <w:spacing w:line="480" w:lineRule="auto"/>
        <w:ind w:left="0" w:firstLine="720"/>
        <w:jc w:val="both"/>
      </w:pPr>
      <w:r>
        <w:t xml:space="preserve">IPANM contracted with Spirit Environmental to review the feasibility of the emission limits </w:t>
      </w:r>
      <w:r w:rsidRPr="00137DE2">
        <w:t>proposed by NPS</w:t>
      </w:r>
      <w:r>
        <w:t xml:space="preserve">.  </w:t>
      </w:r>
      <w:r>
        <w:rPr>
          <w:b/>
          <w:bCs/>
        </w:rPr>
        <w:t>IPANM Ex. 12</w:t>
      </w:r>
      <w:r>
        <w:t xml:space="preserve"> at 17 (Blewitt Rebuttal), </w:t>
      </w:r>
      <w:r>
        <w:rPr>
          <w:b/>
          <w:bCs/>
        </w:rPr>
        <w:t>IPANM Ex. 13</w:t>
      </w:r>
      <w:r>
        <w:t xml:space="preserve"> (Spirit Environmental Report).  The report demonstrates that the emission limits proposed by NPS cannot be achieved on a continuous basis.  </w:t>
      </w:r>
      <w:r>
        <w:rPr>
          <w:b/>
          <w:bCs/>
        </w:rPr>
        <w:t xml:space="preserve">IPANM Ex. 13 </w:t>
      </w:r>
      <w:r>
        <w:t>at 25 (Blewitt Rebuttal)</w:t>
      </w:r>
      <w:r w:rsidR="006D0D23">
        <w:t xml:space="preserve">. </w:t>
      </w:r>
    </w:p>
    <w:p w14:paraId="06BE1829" w14:textId="36DD1F78" w:rsidR="009C77EE" w:rsidRDefault="00A562CE" w:rsidP="002825F0">
      <w:pPr>
        <w:pStyle w:val="ListParagraph"/>
        <w:numPr>
          <w:ilvl w:val="0"/>
          <w:numId w:val="2"/>
        </w:numPr>
        <w:spacing w:line="480" w:lineRule="auto"/>
        <w:ind w:left="0" w:firstLine="720"/>
        <w:jc w:val="both"/>
      </w:pPr>
      <w:r>
        <w:t>NMOGA also testified that t</w:t>
      </w:r>
      <w:r w:rsidR="009C77EE">
        <w:t xml:space="preserve">he emission limits in the proposed rule are difficult to attain.  </w:t>
      </w:r>
      <w:r w:rsidR="009C77EE">
        <w:rPr>
          <w:b/>
          <w:bCs/>
        </w:rPr>
        <w:t>NMOGA A1</w:t>
      </w:r>
      <w:r w:rsidR="009C77EE">
        <w:t xml:space="preserve"> at 7 (Smitherman Direct).  The proposed NOx emission</w:t>
      </w:r>
      <w:r>
        <w:t xml:space="preserve"> rate</w:t>
      </w:r>
      <w:r w:rsidR="009C77EE">
        <w:t xml:space="preserve">s in some horsepower ranges result in a single provider situation that can cause a monopoly.  </w:t>
      </w:r>
      <w:r w:rsidR="009C77EE" w:rsidRPr="005C793C">
        <w:rPr>
          <w:b/>
          <w:bCs/>
          <w:i/>
          <w:iCs/>
        </w:rPr>
        <w:t>Id.</w:t>
      </w:r>
      <w:r w:rsidR="009C77EE">
        <w:t xml:space="preserve">  </w:t>
      </w:r>
    </w:p>
    <w:p w14:paraId="0215AC97" w14:textId="322B86A8" w:rsidR="005341B7" w:rsidRDefault="005341B7" w:rsidP="002825F0">
      <w:pPr>
        <w:pStyle w:val="ListParagraph"/>
        <w:numPr>
          <w:ilvl w:val="0"/>
          <w:numId w:val="2"/>
        </w:numPr>
        <w:spacing w:line="480" w:lineRule="auto"/>
        <w:ind w:left="0" w:firstLine="720"/>
        <w:jc w:val="both"/>
      </w:pPr>
      <w:r>
        <w:t xml:space="preserve">Kinder Morgan testified that this section of the proposed rule has the potential for greatest impact on Kinder Morgan’s operations.  </w:t>
      </w:r>
      <w:r>
        <w:rPr>
          <w:b/>
          <w:bCs/>
        </w:rPr>
        <w:t>KM Ex. VI</w:t>
      </w:r>
      <w:r>
        <w:t xml:space="preserve"> at 1 (Brindley Direct).</w:t>
      </w:r>
    </w:p>
    <w:p w14:paraId="4AD9B83E" w14:textId="7D7EA4F8" w:rsidR="00766976" w:rsidRDefault="00766976" w:rsidP="002825F0">
      <w:pPr>
        <w:pStyle w:val="ListParagraph"/>
        <w:numPr>
          <w:ilvl w:val="0"/>
          <w:numId w:val="2"/>
        </w:numPr>
        <w:spacing w:line="480" w:lineRule="auto"/>
        <w:ind w:left="0" w:firstLine="720"/>
        <w:jc w:val="both"/>
      </w:pPr>
      <w:r>
        <w:t xml:space="preserve">Specifically, Kinder Morgan </w:t>
      </w:r>
      <w:r w:rsidR="00A562CE">
        <w:t>expressed</w:t>
      </w:r>
      <w:r>
        <w:t xml:space="preserve"> concern with the expense related to meeting the emission limitations of the proposed rule. </w:t>
      </w:r>
      <w:r>
        <w:rPr>
          <w:i/>
          <w:iCs/>
        </w:rPr>
        <w:t>See generally</w:t>
      </w:r>
      <w:r>
        <w:t xml:space="preserve"> </w:t>
      </w:r>
      <w:r>
        <w:rPr>
          <w:b/>
          <w:bCs/>
        </w:rPr>
        <w:t>KM Ex. VI</w:t>
      </w:r>
      <w:r>
        <w:t xml:space="preserve"> (Trent Direct).</w:t>
      </w:r>
    </w:p>
    <w:p w14:paraId="6A7154EE" w14:textId="413E4393" w:rsidR="00C70E5B" w:rsidRDefault="00C70E5B" w:rsidP="00C70E5B">
      <w:pPr>
        <w:pStyle w:val="ListParagraph"/>
        <w:numPr>
          <w:ilvl w:val="0"/>
          <w:numId w:val="2"/>
        </w:numPr>
        <w:spacing w:line="480" w:lineRule="auto"/>
        <w:ind w:left="0" w:firstLine="720"/>
        <w:jc w:val="both"/>
      </w:pPr>
      <w:r>
        <w:t xml:space="preserve">The GCA expressed concern that some of these emission limits are inconsistent with available technology to retrofit existing engines.  </w:t>
      </w:r>
      <w:r>
        <w:rPr>
          <w:b/>
          <w:bCs/>
        </w:rPr>
        <w:t>GCA Ex. 12</w:t>
      </w:r>
      <w:r>
        <w:t xml:space="preserve"> at 4 (Dutton Direct).</w:t>
      </w:r>
    </w:p>
    <w:p w14:paraId="1D552534" w14:textId="07C15760" w:rsidR="00C70E5B" w:rsidRDefault="00C70E5B" w:rsidP="00C70E5B">
      <w:pPr>
        <w:pStyle w:val="ListParagraph"/>
        <w:numPr>
          <w:ilvl w:val="0"/>
          <w:numId w:val="2"/>
        </w:numPr>
        <w:spacing w:line="480" w:lineRule="auto"/>
        <w:ind w:left="0" w:firstLine="720"/>
        <w:jc w:val="both"/>
      </w:pPr>
      <w:r>
        <w:t>The GCA was also concerned with the requirement to have</w:t>
      </w:r>
      <w:r w:rsidR="00A562CE">
        <w:t xml:space="preserve"> the owner or operator of</w:t>
      </w:r>
      <w:r>
        <w:t xml:space="preserve"> a compressor engine follow a manufacturer-recommended maintenance plan rather than an expert operator-tailored, time-tested and “conditions-based” maintenance plan for which GCA currently operates with.  </w:t>
      </w:r>
      <w:r>
        <w:rPr>
          <w:b/>
          <w:bCs/>
        </w:rPr>
        <w:t>GCA Ex. 15</w:t>
      </w:r>
      <w:r>
        <w:t xml:space="preserve"> at 4 (Copeland Direct).  Specifically, GCA highlighted how highly incentivized a compression package operator is to properly maintain their </w:t>
      </w:r>
      <w:r w:rsidR="00266A1D">
        <w:t xml:space="preserve">“expensive, </w:t>
      </w:r>
      <w:r w:rsidR="00266A1D">
        <w:lastRenderedPageBreak/>
        <w:t xml:space="preserve">revenue-generating equipment” and that a generic requirement for maintenance was inappropriate given the incentives already at play.  </w:t>
      </w:r>
      <w:r w:rsidR="00266A1D">
        <w:rPr>
          <w:b/>
          <w:bCs/>
        </w:rPr>
        <w:t xml:space="preserve">GCA Ex. 15 </w:t>
      </w:r>
      <w:r w:rsidR="00266A1D">
        <w:t>at 5 (Copeland Direct).</w:t>
      </w:r>
    </w:p>
    <w:p w14:paraId="3D750C72" w14:textId="6882C1C5" w:rsidR="006F0720" w:rsidRPr="006F0720" w:rsidRDefault="006F0720" w:rsidP="00C70E5B">
      <w:pPr>
        <w:pStyle w:val="ListParagraph"/>
        <w:numPr>
          <w:ilvl w:val="0"/>
          <w:numId w:val="2"/>
        </w:numPr>
        <w:spacing w:line="480" w:lineRule="auto"/>
        <w:ind w:left="0" w:firstLine="720"/>
        <w:jc w:val="both"/>
      </w:pPr>
      <w:r>
        <w:t xml:space="preserve">CDG testified as to the potential confusion between the more frequent testing required by NMED as opposed to the federal rules.  </w:t>
      </w:r>
      <w:r>
        <w:rPr>
          <w:b/>
          <w:bCs/>
        </w:rPr>
        <w:t xml:space="preserve">CDG Ex. B </w:t>
      </w:r>
      <w:r>
        <w:t xml:space="preserve">at 3 (Campsie Direct).  CDG suggests that the testing of engines be changed to mirror 40 C.F.R. Part 60, Subpart JJJJ.  </w:t>
      </w:r>
      <w:r w:rsidRPr="005C793C">
        <w:rPr>
          <w:b/>
          <w:bCs/>
          <w:i/>
          <w:iCs/>
        </w:rPr>
        <w:t>Id.</w:t>
      </w:r>
    </w:p>
    <w:p w14:paraId="7B50980D" w14:textId="7C725C28" w:rsidR="006F0720" w:rsidRDefault="006F0720" w:rsidP="00C70E5B">
      <w:pPr>
        <w:pStyle w:val="ListParagraph"/>
        <w:numPr>
          <w:ilvl w:val="0"/>
          <w:numId w:val="2"/>
        </w:numPr>
        <w:spacing w:line="480" w:lineRule="auto"/>
        <w:ind w:left="0" w:firstLine="720"/>
        <w:jc w:val="both"/>
      </w:pPr>
      <w:r>
        <w:t xml:space="preserve">In </w:t>
      </w:r>
      <w:r w:rsidR="00481013">
        <w:t>its</w:t>
      </w:r>
      <w:r>
        <w:t xml:space="preserve"> rebuttal testimony</w:t>
      </w:r>
      <w:r w:rsidR="00516C68">
        <w:t>,</w:t>
      </w:r>
      <w:r>
        <w:t xml:space="preserve"> </w:t>
      </w:r>
      <w:r w:rsidR="00F87CB7">
        <w:t>CDG</w:t>
      </w:r>
      <w:r>
        <w:t xml:space="preserve"> supported NMOGA’s changes to lean burn emission factors </w:t>
      </w:r>
      <w:r w:rsidR="00516C68">
        <w:t xml:space="preserve">and </w:t>
      </w:r>
      <w:r>
        <w:t xml:space="preserve">highlighted that some existing engines would be unable to meet the emission limits proposed by NMED.  </w:t>
      </w:r>
      <w:r>
        <w:rPr>
          <w:b/>
          <w:bCs/>
        </w:rPr>
        <w:t>CDG Rebuttal Ex. B</w:t>
      </w:r>
      <w:r>
        <w:t xml:space="preserve"> at 3 (Campsie Rebuttal).</w:t>
      </w:r>
    </w:p>
    <w:p w14:paraId="3D204C8C" w14:textId="32F951B8" w:rsidR="0068335B" w:rsidRDefault="0068335B" w:rsidP="00C70E5B">
      <w:pPr>
        <w:pStyle w:val="ListParagraph"/>
        <w:numPr>
          <w:ilvl w:val="0"/>
          <w:numId w:val="2"/>
        </w:numPr>
        <w:spacing w:line="480" w:lineRule="auto"/>
        <w:ind w:left="0" w:firstLine="720"/>
        <w:jc w:val="both"/>
      </w:pPr>
      <w:r>
        <w:t xml:space="preserve">At the hearing, NMED testified to its bases for their cost estimates versus emissions reductions.  </w:t>
      </w:r>
      <w:r w:rsidRPr="0068335B">
        <w:t>Tr. Vol. 6, 1641-1654 (Palmer).</w:t>
      </w:r>
    </w:p>
    <w:p w14:paraId="3543C030" w14:textId="52633C03" w:rsidR="005067DF" w:rsidRDefault="006B01E3" w:rsidP="00C70E5B">
      <w:pPr>
        <w:pStyle w:val="ListParagraph"/>
        <w:numPr>
          <w:ilvl w:val="0"/>
          <w:numId w:val="2"/>
        </w:numPr>
        <w:spacing w:line="480" w:lineRule="auto"/>
        <w:ind w:left="0" w:firstLine="720"/>
        <w:jc w:val="both"/>
      </w:pPr>
      <w:r>
        <w:t>NMED also explained there was a shorter compliance timeline for turbines as opposed to engines because there are fewer of them that would be subject to the proposed rule.  Tr. Vol. 6, 1675:14-19 (Bisbey-Kuehn).</w:t>
      </w:r>
    </w:p>
    <w:p w14:paraId="07204EC9" w14:textId="7EFDEA25" w:rsidR="006B01E3" w:rsidRDefault="006B01E3" w:rsidP="00C70E5B">
      <w:pPr>
        <w:pStyle w:val="ListParagraph"/>
        <w:numPr>
          <w:ilvl w:val="0"/>
          <w:numId w:val="2"/>
        </w:numPr>
        <w:spacing w:line="480" w:lineRule="auto"/>
        <w:ind w:left="0" w:firstLine="720"/>
        <w:jc w:val="both"/>
      </w:pPr>
      <w:r>
        <w:t>NMED addressed some concerns about compliance of engines that are unable to meet emission standards with the proposed rule by allowing for an Alternative Compliance Plan.  The plan would allow operators to determine equivalent amounts of reductions using alternative strategies.  Tr. Vol. 6, 1679:717 (Bisbey-Kuehn)</w:t>
      </w:r>
      <w:r w:rsidR="009B0CD1">
        <w:t>; Tr. Vol. 6, 1690:14-1691:7 (Bisbey-Kuehn)</w:t>
      </w:r>
    </w:p>
    <w:p w14:paraId="63AB38F3" w14:textId="44C8146D" w:rsidR="006B01E3" w:rsidRDefault="00F910E8" w:rsidP="00C70E5B">
      <w:pPr>
        <w:pStyle w:val="ListParagraph"/>
        <w:numPr>
          <w:ilvl w:val="0"/>
          <w:numId w:val="2"/>
        </w:numPr>
        <w:spacing w:line="480" w:lineRule="auto"/>
        <w:ind w:left="0" w:firstLine="720"/>
        <w:jc w:val="both"/>
      </w:pPr>
      <w:r>
        <w:t xml:space="preserve">At the hearing NMOGA provided an overview of the process associated with emission control technologies. Tr. Vol. 6, 1724:6-1735:17 (Lisowski).  NMOGA further testified that CO limits should be removed because </w:t>
      </w:r>
      <w:r w:rsidR="007A32A3">
        <w:t>CO</w:t>
      </w:r>
      <w:r>
        <w:t xml:space="preserve"> is not a precursor to </w:t>
      </w:r>
      <w:r w:rsidR="004C2024">
        <w:t xml:space="preserve">ozone. </w:t>
      </w:r>
      <w:r w:rsidR="007A32A3">
        <w:t>T</w:t>
      </w:r>
      <w:r>
        <w:t>he rule should be rewritten to mirror NSPS JJJJ. Tr. Vol. 6, 1737:15-24 (Lisowski).</w:t>
      </w:r>
    </w:p>
    <w:p w14:paraId="65950418" w14:textId="5DFF06D3" w:rsidR="00D97B47" w:rsidRDefault="00D97B47" w:rsidP="00C70E5B">
      <w:pPr>
        <w:pStyle w:val="ListParagraph"/>
        <w:numPr>
          <w:ilvl w:val="0"/>
          <w:numId w:val="2"/>
        </w:numPr>
        <w:spacing w:line="480" w:lineRule="auto"/>
        <w:ind w:left="0" w:firstLine="720"/>
        <w:jc w:val="both"/>
      </w:pPr>
      <w:r>
        <w:t xml:space="preserve">The GCA testified that changes NMED had made to the rule satisfied some of the GCA concerns regarding the emission standards for engines.  Tr. Vol. 6, 1749:20-1750:3 </w:t>
      </w:r>
      <w:r>
        <w:lastRenderedPageBreak/>
        <w:t>(Sheldon).  GCA did highlight that even with the changes to the rule, there will still be significant challenges to meet the requirements.  Tr. Vol. 6, 1756:9-22 (Dutton).</w:t>
      </w:r>
    </w:p>
    <w:p w14:paraId="4186FB8E" w14:textId="74870207" w:rsidR="00B163B0" w:rsidRDefault="00F347DB" w:rsidP="001455A3">
      <w:pPr>
        <w:pStyle w:val="ListParagraph"/>
        <w:numPr>
          <w:ilvl w:val="0"/>
          <w:numId w:val="2"/>
        </w:numPr>
        <w:spacing w:line="480" w:lineRule="auto"/>
        <w:ind w:left="0" w:firstLine="720"/>
        <w:jc w:val="both"/>
      </w:pPr>
      <w:r>
        <w:t xml:space="preserve">Finally, GCA testified in support of NMED’s decision not to include the </w:t>
      </w:r>
      <w:r w:rsidR="00E37EBB">
        <w:t xml:space="preserve">NPS’s </w:t>
      </w:r>
      <w:r>
        <w:t xml:space="preserve">requested changes based on the Pennsylvania GP-5 permit.  Tr. </w:t>
      </w:r>
      <w:r w:rsidR="00CD544B">
        <w:t>V</w:t>
      </w:r>
      <w:r>
        <w:t>ol. 6, 1760:</w:t>
      </w:r>
      <w:r w:rsidR="00B163B0">
        <w:t>7-13 (Dutton).</w:t>
      </w:r>
    </w:p>
    <w:p w14:paraId="29E117D5" w14:textId="20B1012E" w:rsidR="00CD544B" w:rsidRDefault="00CD544B" w:rsidP="001455A3">
      <w:pPr>
        <w:pStyle w:val="ListParagraph"/>
        <w:numPr>
          <w:ilvl w:val="0"/>
          <w:numId w:val="2"/>
        </w:numPr>
        <w:spacing w:line="480" w:lineRule="auto"/>
        <w:ind w:left="0" w:firstLine="720"/>
        <w:jc w:val="both"/>
      </w:pPr>
      <w:r>
        <w:t xml:space="preserve">Kinder Morgan also provided an overview of compressor engines.  Tr. Vol. 6, 1806:12-1807:18 (Brindley). </w:t>
      </w:r>
    </w:p>
    <w:p w14:paraId="6F727E4A" w14:textId="668C9626" w:rsidR="007F045B" w:rsidRDefault="007F045B" w:rsidP="00C70E5B">
      <w:pPr>
        <w:pStyle w:val="ListParagraph"/>
        <w:numPr>
          <w:ilvl w:val="0"/>
          <w:numId w:val="2"/>
        </w:numPr>
        <w:spacing w:line="480" w:lineRule="auto"/>
        <w:ind w:left="0" w:firstLine="720"/>
        <w:jc w:val="both"/>
      </w:pPr>
      <w:r>
        <w:t>Kinder Morgan support</w:t>
      </w:r>
      <w:r w:rsidR="00F87CB7">
        <w:t>ed</w:t>
      </w:r>
      <w:r>
        <w:t xml:space="preserve"> many of the Department’s </w:t>
      </w:r>
      <w:proofErr w:type="gramStart"/>
      <w:r>
        <w:t>changes, but</w:t>
      </w:r>
      <w:proofErr w:type="gramEnd"/>
      <w:r>
        <w:t xml:space="preserve"> </w:t>
      </w:r>
      <w:r w:rsidR="00F87CB7">
        <w:t>explained</w:t>
      </w:r>
      <w:r>
        <w:t xml:space="preserve"> that all the retrofits would be a significant cost.  Tr. Vol. 6, 1813:23-1814:8 (Trent).</w:t>
      </w:r>
    </w:p>
    <w:p w14:paraId="2F02A941" w14:textId="58F6FE70" w:rsidR="007F045B" w:rsidRDefault="007F045B" w:rsidP="00C70E5B">
      <w:pPr>
        <w:pStyle w:val="ListParagraph"/>
        <w:numPr>
          <w:ilvl w:val="0"/>
          <w:numId w:val="2"/>
        </w:numPr>
        <w:spacing w:line="480" w:lineRule="auto"/>
        <w:ind w:left="0" w:firstLine="720"/>
        <w:jc w:val="both"/>
      </w:pPr>
      <w:r>
        <w:t xml:space="preserve">CDG reiterated its testimony that this rule mirror NSPS JJJJ for consistency.  Tr. Vol. 6, 1841:3-20 (Campsie). </w:t>
      </w:r>
    </w:p>
    <w:p w14:paraId="7CF282BC" w14:textId="7F779F45" w:rsidR="00C347B3" w:rsidRDefault="00C347B3" w:rsidP="00C70E5B">
      <w:pPr>
        <w:pStyle w:val="ListParagraph"/>
        <w:numPr>
          <w:ilvl w:val="0"/>
          <w:numId w:val="2"/>
        </w:numPr>
        <w:spacing w:line="480" w:lineRule="auto"/>
        <w:ind w:left="0" w:firstLine="720"/>
        <w:jc w:val="both"/>
      </w:pPr>
      <w:r>
        <w:t>NPS requested that New Mexico watch Colorado to see how their rulemaking will be addressed.</w:t>
      </w:r>
      <w:r w:rsidR="00514C62">
        <w:t xml:space="preserve"> This is a change in NPS’s position that smaller engines do not need to be addressed in this proceeding.</w:t>
      </w:r>
      <w:r>
        <w:t xml:space="preserve">  Tr. Vol. 8, 2395:2-6 (Devore)</w:t>
      </w:r>
      <w:r w:rsidR="00514C62">
        <w:t>; Tr. Vol. 8, 2400:4-9 (Devore).</w:t>
      </w:r>
    </w:p>
    <w:p w14:paraId="721243D4" w14:textId="79587058" w:rsidR="00C347B3" w:rsidRDefault="00C347B3" w:rsidP="00C70E5B">
      <w:pPr>
        <w:pStyle w:val="ListParagraph"/>
        <w:numPr>
          <w:ilvl w:val="0"/>
          <w:numId w:val="2"/>
        </w:numPr>
        <w:spacing w:line="480" w:lineRule="auto"/>
        <w:ind w:left="0" w:firstLine="720"/>
        <w:jc w:val="both"/>
      </w:pPr>
      <w:r>
        <w:t xml:space="preserve">NPS also asserts that there needs to be a limit on </w:t>
      </w:r>
      <w:proofErr w:type="gramStart"/>
      <w:r>
        <w:t>CO</w:t>
      </w:r>
      <w:proofErr w:type="gramEnd"/>
      <w:r>
        <w:t xml:space="preserve"> so operators are applying their controls properly.  Tr. Vol. 8, 2397:4-9 (Devore). </w:t>
      </w:r>
    </w:p>
    <w:p w14:paraId="50DACD70" w14:textId="0DEFA21A" w:rsidR="00FE6C42" w:rsidRDefault="00FE6C42" w:rsidP="00C70E5B">
      <w:pPr>
        <w:pStyle w:val="ListParagraph"/>
        <w:numPr>
          <w:ilvl w:val="0"/>
          <w:numId w:val="2"/>
        </w:numPr>
        <w:spacing w:line="480" w:lineRule="auto"/>
        <w:ind w:left="0" w:firstLine="720"/>
        <w:jc w:val="both"/>
      </w:pPr>
      <w:r>
        <w:t>CAA testified that the proposed rule</w:t>
      </w:r>
      <w:r w:rsidR="0063390E">
        <w:t>,</w:t>
      </w:r>
      <w:r>
        <w:t xml:space="preserve"> as revised</w:t>
      </w:r>
      <w:r w:rsidR="0063390E">
        <w:t>,</w:t>
      </w:r>
      <w:r>
        <w:t xml:space="preserve"> </w:t>
      </w:r>
      <w:r w:rsidR="0063390E">
        <w:t>id flexible and allows</w:t>
      </w:r>
      <w:r>
        <w:t xml:space="preserve"> operators to continue using engines that do not meet the Department’s emission standards.  Tr. Vol. 9, 2979:7-15 (Orozco).  CAA testified that this </w:t>
      </w:r>
      <w:r w:rsidR="0063390E">
        <w:t>is</w:t>
      </w:r>
      <w:r>
        <w:t xml:space="preserve"> inappropriate because operators will not be required to implement cost-effective controls at </w:t>
      </w:r>
      <w:proofErr w:type="gramStart"/>
      <w:r>
        <w:t>all of</w:t>
      </w:r>
      <w:proofErr w:type="gramEnd"/>
      <w:r>
        <w:t xml:space="preserve"> their engines.  Tr. Vol. 9, 2979:16-21 (Orozco).</w:t>
      </w:r>
    </w:p>
    <w:p w14:paraId="0CEFE606" w14:textId="2B2CD240" w:rsidR="003B155C" w:rsidRDefault="003B155C" w:rsidP="00C70E5B">
      <w:pPr>
        <w:pStyle w:val="ListParagraph"/>
        <w:numPr>
          <w:ilvl w:val="0"/>
          <w:numId w:val="2"/>
        </w:numPr>
        <w:spacing w:line="480" w:lineRule="auto"/>
        <w:ind w:left="0" w:firstLine="720"/>
        <w:jc w:val="both"/>
      </w:pPr>
      <w:r>
        <w:t xml:space="preserve">IPANM withdrew its challenges based on NPS’s testimony. </w:t>
      </w:r>
      <w:r w:rsidR="00435D95">
        <w:t>Tr. Vol. 8, 2416:12-20 (Rose).</w:t>
      </w:r>
    </w:p>
    <w:p w14:paraId="6131A7D2" w14:textId="21C0D94F" w:rsidR="001331B1" w:rsidRDefault="001331B1" w:rsidP="00A61B8B">
      <w:pPr>
        <w:pStyle w:val="ListParagraph"/>
        <w:numPr>
          <w:ilvl w:val="0"/>
          <w:numId w:val="2"/>
        </w:numPr>
        <w:spacing w:after="0" w:line="480" w:lineRule="auto"/>
        <w:ind w:left="0" w:firstLine="720"/>
        <w:jc w:val="both"/>
      </w:pPr>
      <w:r>
        <w:t xml:space="preserve">Based on the evidence presented, the </w:t>
      </w:r>
      <w:r w:rsidR="00A62BD1">
        <w:t>Board</w:t>
      </w:r>
      <w:r>
        <w:t xml:space="preserve"> finds that the emission limits in </w:t>
      </w:r>
      <w:r w:rsidR="0063390E">
        <w:t xml:space="preserve">Section 113 of </w:t>
      </w:r>
      <w:r>
        <w:t xml:space="preserve">the </w:t>
      </w:r>
      <w:r w:rsidR="00196A62">
        <w:t xml:space="preserve">September </w:t>
      </w:r>
      <w:r w:rsidR="00E37EBB">
        <w:t>16</w:t>
      </w:r>
      <w:r>
        <w:t xml:space="preserve">, </w:t>
      </w:r>
      <w:proofErr w:type="gramStart"/>
      <w:r>
        <w:t>2021</w:t>
      </w:r>
      <w:proofErr w:type="gramEnd"/>
      <w:r>
        <w:t xml:space="preserve"> draft rule</w:t>
      </w:r>
      <w:r w:rsidR="00EE3DD6">
        <w:t xml:space="preserve"> </w:t>
      </w:r>
      <w:r w:rsidR="0063390E">
        <w:t>for</w:t>
      </w:r>
      <w:r>
        <w:t xml:space="preserve"> </w:t>
      </w:r>
      <w:r w:rsidR="0063390E">
        <w:t>e</w:t>
      </w:r>
      <w:r>
        <w:t xml:space="preserve">ngines and </w:t>
      </w:r>
      <w:r w:rsidR="0063390E">
        <w:t>t</w:t>
      </w:r>
      <w:r>
        <w:t xml:space="preserve">urbines </w:t>
      </w:r>
      <w:r w:rsidRPr="007519EE">
        <w:t>are</w:t>
      </w:r>
      <w:r>
        <w:t xml:space="preserve"> appropriate.</w:t>
      </w:r>
    </w:p>
    <w:p w14:paraId="342B17E5" w14:textId="6AC17247" w:rsidR="00DB2259" w:rsidRDefault="00DB2259" w:rsidP="00A61B8B">
      <w:pPr>
        <w:pStyle w:val="Heading2"/>
      </w:pPr>
      <w:bookmarkStart w:id="16" w:name="_Toc93581894"/>
      <w:r>
        <w:lastRenderedPageBreak/>
        <w:t>20.2.</w:t>
      </w:r>
      <w:r w:rsidRPr="00E1713C">
        <w:t xml:space="preserve">50.117 </w:t>
      </w:r>
      <w:r w:rsidR="0063390E">
        <w:t xml:space="preserve">NMAC </w:t>
      </w:r>
      <w:r w:rsidR="00B67AC0" w:rsidRPr="00E1713C">
        <w:t>Natural Gas Well Liquid Unloading</w:t>
      </w:r>
      <w:bookmarkEnd w:id="16"/>
    </w:p>
    <w:p w14:paraId="63D5DCA5" w14:textId="22167454" w:rsidR="00A93928" w:rsidRDefault="00A93928" w:rsidP="00A93928">
      <w:pPr>
        <w:pStyle w:val="ListParagraph"/>
        <w:numPr>
          <w:ilvl w:val="0"/>
          <w:numId w:val="2"/>
        </w:numPr>
        <w:spacing w:line="480" w:lineRule="auto"/>
        <w:ind w:left="0" w:firstLine="720"/>
        <w:jc w:val="both"/>
      </w:pPr>
      <w:r>
        <w:t>Section 117 appl</w:t>
      </w:r>
      <w:r w:rsidR="00B67AC0">
        <w:t>ies</w:t>
      </w:r>
      <w:r>
        <w:t xml:space="preserve"> to liquid unloading operations that include down-hole well maintenance events at a natural gas well.  </w:t>
      </w:r>
      <w:r>
        <w:rPr>
          <w:b/>
          <w:bCs/>
        </w:rPr>
        <w:t>NMED Ex. 32</w:t>
      </w:r>
      <w:r>
        <w:t xml:space="preserve"> at 91 (</w:t>
      </w:r>
      <w:r w:rsidR="00160057">
        <w:t>Bisbey-Kuehn</w:t>
      </w:r>
      <w:r>
        <w:t>/Palmer Direct).</w:t>
      </w:r>
    </w:p>
    <w:p w14:paraId="32A72D4D" w14:textId="5A64A60D" w:rsidR="00A93928" w:rsidRDefault="00A93928" w:rsidP="00A93928">
      <w:pPr>
        <w:pStyle w:val="ListParagraph"/>
        <w:numPr>
          <w:ilvl w:val="0"/>
          <w:numId w:val="2"/>
        </w:numPr>
        <w:spacing w:line="480" w:lineRule="auto"/>
        <w:ind w:left="0" w:firstLine="720"/>
        <w:jc w:val="both"/>
      </w:pPr>
      <w:r>
        <w:t xml:space="preserve">Liquids unloading is an important process to maintain optimal production and </w:t>
      </w:r>
      <w:r w:rsidR="003927F3">
        <w:t>maximize</w:t>
      </w:r>
      <w:r>
        <w:t xml:space="preserve"> the production of the well.  </w:t>
      </w:r>
      <w:r>
        <w:rPr>
          <w:b/>
          <w:bCs/>
        </w:rPr>
        <w:t>IPANM Ex. 2</w:t>
      </w:r>
      <w:r>
        <w:t xml:space="preserve"> at 9 (Davis Direct); </w:t>
      </w:r>
      <w:r>
        <w:rPr>
          <w:b/>
          <w:bCs/>
        </w:rPr>
        <w:t xml:space="preserve">NMED Ex. 32 </w:t>
      </w:r>
      <w:r>
        <w:t>at 91 (</w:t>
      </w:r>
      <w:r w:rsidR="00160057">
        <w:t>Bisbey-Kuehn</w:t>
      </w:r>
      <w:r>
        <w:t>/Palmer Direct).</w:t>
      </w:r>
      <w:r w:rsidR="003927F3">
        <w:t xml:space="preserve">  “Liquid loading begins when the gas velocity up the production string is not sufficient to lift liquids up to the surface at a pressure that will allow gas production to overcome the surface equipment and flow out of the wellbore.”  </w:t>
      </w:r>
      <w:r w:rsidR="003927F3">
        <w:rPr>
          <w:b/>
          <w:bCs/>
        </w:rPr>
        <w:t>NMED Ex. 32</w:t>
      </w:r>
      <w:r w:rsidR="003927F3">
        <w:t xml:space="preserve"> at 91 (</w:t>
      </w:r>
      <w:r w:rsidR="00160057">
        <w:t>Bisbey-Kuehn</w:t>
      </w:r>
      <w:r w:rsidR="003927F3">
        <w:t xml:space="preserve">/Palmer Direct). </w:t>
      </w:r>
    </w:p>
    <w:p w14:paraId="60182608" w14:textId="062C6294" w:rsidR="00122F08" w:rsidRDefault="00122F08" w:rsidP="00A93928">
      <w:pPr>
        <w:pStyle w:val="ListParagraph"/>
        <w:numPr>
          <w:ilvl w:val="0"/>
          <w:numId w:val="2"/>
        </w:numPr>
        <w:spacing w:line="480" w:lineRule="auto"/>
        <w:ind w:left="0" w:firstLine="720"/>
        <w:jc w:val="both"/>
      </w:pPr>
      <w:r>
        <w:t xml:space="preserve">VOC emissions from manual liquid unloading operations occur “when the well is vented to the atmosphere to unload fluids or when the liquids are unloaded through atmospheric tanks and the gas mixed with the liquid is vented to the atmosphere.”  </w:t>
      </w:r>
      <w:r w:rsidR="00AB4D90">
        <w:rPr>
          <w:b/>
          <w:bCs/>
        </w:rPr>
        <w:t>NMED Ex. 32</w:t>
      </w:r>
      <w:r w:rsidR="00AB4D90">
        <w:t xml:space="preserve"> at 93 (</w:t>
      </w:r>
      <w:r w:rsidR="00160057">
        <w:t>Bisbey-Kuehn</w:t>
      </w:r>
      <w:r w:rsidR="00AB4D90">
        <w:t xml:space="preserve">/Palmer Direct). </w:t>
      </w:r>
    </w:p>
    <w:p w14:paraId="3D4DFD25" w14:textId="27B911A2" w:rsidR="00500404" w:rsidRDefault="00500404" w:rsidP="00A93928">
      <w:pPr>
        <w:pStyle w:val="ListParagraph"/>
        <w:numPr>
          <w:ilvl w:val="0"/>
          <w:numId w:val="2"/>
        </w:numPr>
        <w:spacing w:line="480" w:lineRule="auto"/>
        <w:ind w:left="0" w:firstLine="720"/>
        <w:jc w:val="both"/>
      </w:pPr>
      <w:r>
        <w:t xml:space="preserve">IPANM supports the use of best management practices to reduce emissions associated manual liquids unloading.  </w:t>
      </w:r>
      <w:r>
        <w:rPr>
          <w:b/>
          <w:bCs/>
        </w:rPr>
        <w:t>IPANM Ex. 2</w:t>
      </w:r>
      <w:r>
        <w:t xml:space="preserve"> at 7 (Davis Direct).  IPANM, however, opposes the prescriptive nature of the lift methodologies in </w:t>
      </w:r>
      <w:r w:rsidR="0063390E">
        <w:t xml:space="preserve">Section </w:t>
      </w:r>
      <w:r>
        <w:t xml:space="preserve">117.B(3).  </w:t>
      </w:r>
      <w:r w:rsidRPr="005C793C">
        <w:rPr>
          <w:b/>
          <w:bCs/>
          <w:i/>
          <w:iCs/>
        </w:rPr>
        <w:t>Id.</w:t>
      </w:r>
      <w:r>
        <w:t xml:space="preserve"> </w:t>
      </w:r>
    </w:p>
    <w:p w14:paraId="446293A8" w14:textId="7E1BCCB0" w:rsidR="00383306" w:rsidRDefault="00383306" w:rsidP="00A93928">
      <w:pPr>
        <w:pStyle w:val="ListParagraph"/>
        <w:numPr>
          <w:ilvl w:val="0"/>
          <w:numId w:val="2"/>
        </w:numPr>
        <w:spacing w:line="480" w:lineRule="auto"/>
        <w:ind w:left="0" w:firstLine="720"/>
        <w:jc w:val="both"/>
      </w:pPr>
      <w:r>
        <w:t xml:space="preserve">IPANM and NMOGA both suggested limiting the applicability of this section to only those events that vent to the atmosphere.  </w:t>
      </w:r>
      <w:r>
        <w:rPr>
          <w:b/>
          <w:bCs/>
        </w:rPr>
        <w:t>IPANM Ex. 1</w:t>
      </w:r>
      <w:r>
        <w:t xml:space="preserve"> at 5 (Proposed Rule Changes); </w:t>
      </w:r>
      <w:r>
        <w:rPr>
          <w:b/>
          <w:bCs/>
        </w:rPr>
        <w:t>NMOGA Appendix A1</w:t>
      </w:r>
      <w:r>
        <w:t xml:space="preserve"> at 25 (Smitherman Direct).  </w:t>
      </w:r>
    </w:p>
    <w:p w14:paraId="0ABA4A1E" w14:textId="391EFF15" w:rsidR="00195FCE" w:rsidRDefault="00195FCE" w:rsidP="00A93928">
      <w:pPr>
        <w:pStyle w:val="ListParagraph"/>
        <w:numPr>
          <w:ilvl w:val="0"/>
          <w:numId w:val="2"/>
        </w:numPr>
        <w:spacing w:line="480" w:lineRule="auto"/>
        <w:ind w:left="0" w:firstLine="720"/>
        <w:jc w:val="both"/>
      </w:pPr>
      <w:r>
        <w:t xml:space="preserve">EDF supported NMED’s proposal in the original rule to require operators to reduce emissions during liquids unloading.  </w:t>
      </w:r>
      <w:r>
        <w:rPr>
          <w:b/>
          <w:bCs/>
        </w:rPr>
        <w:t>EDF Ex. WW</w:t>
      </w:r>
      <w:r>
        <w:t xml:space="preserve"> at </w:t>
      </w:r>
      <w:r w:rsidR="00B6083E">
        <w:t xml:space="preserve">37 (Alexander Rebuttal).  EDF </w:t>
      </w:r>
      <w:r w:rsidR="00CC6EED">
        <w:t>stated that</w:t>
      </w:r>
      <w:r w:rsidR="00B6083E">
        <w:t xml:space="preserve"> the methods suggested by NMED have been around for a significant amount to time and are both economically and technically feasible for installation and use.  </w:t>
      </w:r>
      <w:r w:rsidR="00B6083E" w:rsidRPr="005C793C">
        <w:rPr>
          <w:b/>
          <w:bCs/>
          <w:i/>
          <w:iCs/>
        </w:rPr>
        <w:t>Id.</w:t>
      </w:r>
      <w:r w:rsidR="00B6083E">
        <w:t xml:space="preserve"> at 37-38.</w:t>
      </w:r>
    </w:p>
    <w:p w14:paraId="310FAAC3" w14:textId="64425DE1" w:rsidR="00660329" w:rsidRDefault="00660329" w:rsidP="00A93928">
      <w:pPr>
        <w:pStyle w:val="ListParagraph"/>
        <w:numPr>
          <w:ilvl w:val="0"/>
          <w:numId w:val="2"/>
        </w:numPr>
        <w:spacing w:line="480" w:lineRule="auto"/>
        <w:ind w:left="0" w:firstLine="720"/>
        <w:jc w:val="both"/>
      </w:pPr>
      <w:r>
        <w:lastRenderedPageBreak/>
        <w:t xml:space="preserve">NMED agreed with </w:t>
      </w:r>
      <w:proofErr w:type="gramStart"/>
      <w:r>
        <w:t>a number of</w:t>
      </w:r>
      <w:proofErr w:type="gramEnd"/>
      <w:r>
        <w:t xml:space="preserve"> revisions proposed by NMOGA and IPANM.  </w:t>
      </w:r>
      <w:r>
        <w:rPr>
          <w:b/>
          <w:bCs/>
        </w:rPr>
        <w:t>NMED Rebuttal Ex. 1</w:t>
      </w:r>
      <w:r>
        <w:t xml:space="preserve"> at 68 (</w:t>
      </w:r>
      <w:r w:rsidR="00160057">
        <w:t>Bisbey-Kuehn</w:t>
      </w:r>
      <w:r>
        <w:t xml:space="preserve">/Palmer Rebuttal).  NMED disagreed with the inclusion of the term “manual” to describe the liquid unloading events as it is NMED’s intent that this section </w:t>
      </w:r>
      <w:proofErr w:type="gramStart"/>
      <w:r>
        <w:t>cover</w:t>
      </w:r>
      <w:proofErr w:type="gramEnd"/>
      <w:r>
        <w:t xml:space="preserve"> both manual and automated liquid unloading events.  </w:t>
      </w:r>
      <w:r w:rsidRPr="005C793C">
        <w:rPr>
          <w:b/>
          <w:bCs/>
          <w:i/>
          <w:iCs/>
        </w:rPr>
        <w:t>Id.</w:t>
      </w:r>
      <w:r>
        <w:t xml:space="preserve">  </w:t>
      </w:r>
    </w:p>
    <w:p w14:paraId="0B86117A" w14:textId="346F1959" w:rsidR="00660329" w:rsidRDefault="00660329" w:rsidP="00A93928">
      <w:pPr>
        <w:pStyle w:val="ListParagraph"/>
        <w:numPr>
          <w:ilvl w:val="0"/>
          <w:numId w:val="2"/>
        </w:numPr>
        <w:spacing w:line="480" w:lineRule="auto"/>
        <w:ind w:left="0" w:firstLine="720"/>
        <w:jc w:val="both"/>
      </w:pPr>
      <w:r>
        <w:t>NMED reject</w:t>
      </w:r>
      <w:r w:rsidR="00CC6EED">
        <w:t>ed</w:t>
      </w:r>
      <w:r>
        <w:t xml:space="preserve"> IPANM’s proposal to remove the prescriptive paragraph 3 of 20.2.50.117</w:t>
      </w:r>
      <w:r w:rsidR="000D2195">
        <w:t xml:space="preserve">.B, however NMED added additional flexibility to this paragraph to allow operators to use a different control that meets the needs of their source.  </w:t>
      </w:r>
      <w:r w:rsidR="000D2195">
        <w:rPr>
          <w:b/>
          <w:bCs/>
        </w:rPr>
        <w:t>NMED Rebuttal Ex. 1</w:t>
      </w:r>
      <w:r w:rsidR="000D2195">
        <w:t xml:space="preserve"> at 70 (</w:t>
      </w:r>
      <w:r w:rsidR="00160057">
        <w:t>Bisbey-Kuehn</w:t>
      </w:r>
      <w:r w:rsidR="000D2195">
        <w:t>/Palmer Direct).</w:t>
      </w:r>
      <w:r w:rsidR="00195FCE">
        <w:t xml:space="preserve">  NMED’s changes included the addition of use of an automated control system as suggested by NMOGA.  </w:t>
      </w:r>
      <w:r w:rsidR="00195FCE">
        <w:rPr>
          <w:b/>
          <w:bCs/>
        </w:rPr>
        <w:t>NMOGA Appendix A1</w:t>
      </w:r>
      <w:r w:rsidR="00195FCE">
        <w:t xml:space="preserve"> at 25 (Smitherman Direct); </w:t>
      </w:r>
      <w:r w:rsidR="00195FCE">
        <w:rPr>
          <w:b/>
          <w:bCs/>
        </w:rPr>
        <w:t>NMED Rebuttal Ex. 2</w:t>
      </w:r>
      <w:r w:rsidR="00195FCE">
        <w:t xml:space="preserve"> at 22 (Proposed 20.2.50 NMAC – Sept. 7, </w:t>
      </w:r>
      <w:proofErr w:type="gramStart"/>
      <w:r w:rsidR="00195FCE">
        <w:t>2021</w:t>
      </w:r>
      <w:proofErr w:type="gramEnd"/>
      <w:r w:rsidR="00195FCE">
        <w:t xml:space="preserve"> Version).</w:t>
      </w:r>
    </w:p>
    <w:p w14:paraId="7C636A54" w14:textId="74088B5C" w:rsidR="0084196A" w:rsidRDefault="0084196A" w:rsidP="00A93928">
      <w:pPr>
        <w:pStyle w:val="ListParagraph"/>
        <w:numPr>
          <w:ilvl w:val="0"/>
          <w:numId w:val="2"/>
        </w:numPr>
        <w:spacing w:line="480" w:lineRule="auto"/>
        <w:ind w:left="0" w:firstLine="720"/>
        <w:jc w:val="both"/>
      </w:pPr>
      <w:r>
        <w:t>At the hearing, NMED testified about emissions that occur from well liquid unloading.  Tr. Vol. 9, 3131</w:t>
      </w:r>
      <w:r w:rsidR="00EC1195">
        <w:t>:</w:t>
      </w:r>
      <w:r>
        <w:t>2-13 (Bisbey-Kuehn).</w:t>
      </w:r>
      <w:r w:rsidR="00EC1195">
        <w:t xml:space="preserve">  NMED also testified that the basis of the rule requirements being from Colorado Regulation 7, Pennsylvania General Permits 5 and 5A and Wyoming Permitting Guidance.  Tr. Vol. 9, 3131:19-3132:16 (Palmer). </w:t>
      </w:r>
    </w:p>
    <w:p w14:paraId="7FA33649" w14:textId="4F7BC0F5" w:rsidR="006F3E74" w:rsidRDefault="006F3E74" w:rsidP="00A93928">
      <w:pPr>
        <w:pStyle w:val="ListParagraph"/>
        <w:numPr>
          <w:ilvl w:val="0"/>
          <w:numId w:val="2"/>
        </w:numPr>
        <w:spacing w:line="480" w:lineRule="auto"/>
        <w:ind w:left="0" w:firstLine="720"/>
        <w:jc w:val="both"/>
      </w:pPr>
      <w:r>
        <w:t xml:space="preserve">IPANM testified about the requirement for using a control device on a storage tank during a manual well unloading </w:t>
      </w:r>
      <w:r w:rsidR="00CC6EED">
        <w:t>is</w:t>
      </w:r>
      <w:r>
        <w:t xml:space="preserve"> a significant safety concern.  Tr. Vol. 9, 3143:5-12 (Davis). </w:t>
      </w:r>
    </w:p>
    <w:p w14:paraId="1E6D67C0" w14:textId="1E9C57B0" w:rsidR="003B7AB8" w:rsidRDefault="003B7AB8" w:rsidP="00A93928">
      <w:pPr>
        <w:pStyle w:val="ListParagraph"/>
        <w:numPr>
          <w:ilvl w:val="0"/>
          <w:numId w:val="2"/>
        </w:numPr>
        <w:spacing w:line="480" w:lineRule="auto"/>
        <w:ind w:left="0" w:firstLine="720"/>
        <w:jc w:val="both"/>
      </w:pPr>
      <w:r>
        <w:t>IPANM also testified that the best management practices listed in Paragraph 3 of Section 117.B are better listed in Paragraph 1</w:t>
      </w:r>
      <w:r w:rsidR="00516C68">
        <w:t>,</w:t>
      </w:r>
      <w:r>
        <w:t xml:space="preserve"> as these are measures that are taken during the life of the well and not necessarily something that</w:t>
      </w:r>
      <w:r w:rsidR="001261D8">
        <w:t xml:space="preserve"> is</w:t>
      </w:r>
      <w:r>
        <w:t xml:space="preserve"> employed as a control strategy for manual liquids unloading.  Tr. Vol. 9, 3145:1-10 (Davis). </w:t>
      </w:r>
    </w:p>
    <w:p w14:paraId="61979069" w14:textId="6596BE94" w:rsidR="00AA15E5" w:rsidRPr="00A14E78" w:rsidRDefault="00AA15E5" w:rsidP="00A93928">
      <w:pPr>
        <w:pStyle w:val="ListParagraph"/>
        <w:numPr>
          <w:ilvl w:val="0"/>
          <w:numId w:val="2"/>
        </w:numPr>
        <w:spacing w:line="480" w:lineRule="auto"/>
        <w:ind w:left="0" w:firstLine="720"/>
        <w:jc w:val="both"/>
      </w:pPr>
      <w:r>
        <w:t xml:space="preserve">IPANM also requested that NMED revise the recordkeeping requirements to reflect an estimated flow rate during a manual unloading event rather than a maximum potential flow rate.  Tr. Vol. 9, 3145:24-3146:7 (Davis). This is because the whole purpose of a manual unloading </w:t>
      </w:r>
      <w:r>
        <w:lastRenderedPageBreak/>
        <w:t xml:space="preserve">event is because a well is not performing at its maximum potential, so a maximum potential flow rate would overestimate emissions.  Tr. Vol. 9, 3146:5-7 (Davis). </w:t>
      </w:r>
    </w:p>
    <w:p w14:paraId="24B26DE4" w14:textId="1FB5AF3A" w:rsidR="00A14E78" w:rsidRPr="00B46150" w:rsidRDefault="00A14E78" w:rsidP="00A93928">
      <w:pPr>
        <w:pStyle w:val="ListParagraph"/>
        <w:numPr>
          <w:ilvl w:val="0"/>
          <w:numId w:val="2"/>
        </w:numPr>
        <w:spacing w:line="480" w:lineRule="auto"/>
        <w:ind w:left="0" w:firstLine="720"/>
        <w:jc w:val="both"/>
      </w:pPr>
      <w:r>
        <w:rPr>
          <w:color w:val="000000" w:themeColor="text1"/>
        </w:rPr>
        <w:t>NMED agreed with IPANM that the list of methodologies in Paragraph B.3 be moved to B.1.  Tr. Vol. 9, 3150:17-22 (Bisbey-Kuehn).</w:t>
      </w:r>
    </w:p>
    <w:p w14:paraId="18100E41" w14:textId="209C8C3A" w:rsidR="00B46150" w:rsidRPr="00B46150" w:rsidRDefault="00B46150" w:rsidP="00EC7B89">
      <w:pPr>
        <w:pStyle w:val="ListParagraph"/>
        <w:numPr>
          <w:ilvl w:val="0"/>
          <w:numId w:val="2"/>
        </w:numPr>
        <w:spacing w:after="0" w:line="480" w:lineRule="auto"/>
        <w:ind w:left="0" w:firstLine="720"/>
        <w:jc w:val="both"/>
      </w:pPr>
      <w:r>
        <w:rPr>
          <w:color w:val="000000" w:themeColor="text1"/>
        </w:rPr>
        <w:t xml:space="preserve">EDF testified in support of the move of the list of best management </w:t>
      </w:r>
      <w:proofErr w:type="gramStart"/>
      <w:r>
        <w:rPr>
          <w:color w:val="000000" w:themeColor="text1"/>
        </w:rPr>
        <w:t>practices, but</w:t>
      </w:r>
      <w:proofErr w:type="gramEnd"/>
      <w:r>
        <w:rPr>
          <w:color w:val="000000" w:themeColor="text1"/>
        </w:rPr>
        <w:t xml:space="preserve"> reiterated that it did not want the list to </w:t>
      </w:r>
      <w:r w:rsidR="00CC6EED">
        <w:rPr>
          <w:color w:val="000000" w:themeColor="text1"/>
        </w:rPr>
        <w:t>be</w:t>
      </w:r>
      <w:r>
        <w:rPr>
          <w:color w:val="000000" w:themeColor="text1"/>
        </w:rPr>
        <w:t xml:space="preserve"> completely</w:t>
      </w:r>
      <w:r w:rsidR="00CC6EED">
        <w:rPr>
          <w:color w:val="000000" w:themeColor="text1"/>
        </w:rPr>
        <w:t xml:space="preserve"> removed</w:t>
      </w:r>
      <w:r>
        <w:rPr>
          <w:color w:val="000000" w:themeColor="text1"/>
        </w:rPr>
        <w:t>.  Tr. Vol. 10, 3219:15-</w:t>
      </w:r>
    </w:p>
    <w:p w14:paraId="4C14EBA0" w14:textId="5F66C847" w:rsidR="00B46150" w:rsidRPr="003320CF" w:rsidRDefault="00B46150" w:rsidP="00EC7B89">
      <w:pPr>
        <w:spacing w:after="0" w:line="480" w:lineRule="auto"/>
        <w:jc w:val="both"/>
      </w:pPr>
      <w:r w:rsidRPr="00B00A30">
        <w:rPr>
          <w:color w:val="000000" w:themeColor="text1"/>
        </w:rPr>
        <w:t>330:6 (Alexander).</w:t>
      </w:r>
    </w:p>
    <w:p w14:paraId="194427F3" w14:textId="03349371" w:rsidR="003320CF" w:rsidRPr="00971221" w:rsidRDefault="003320CF" w:rsidP="00A93928">
      <w:pPr>
        <w:pStyle w:val="ListParagraph"/>
        <w:numPr>
          <w:ilvl w:val="0"/>
          <w:numId w:val="2"/>
        </w:numPr>
        <w:spacing w:line="480" w:lineRule="auto"/>
        <w:ind w:left="0" w:firstLine="720"/>
        <w:jc w:val="both"/>
      </w:pPr>
      <w:r>
        <w:rPr>
          <w:color w:val="000000" w:themeColor="text1"/>
        </w:rPr>
        <w:t>NMED also agreed to use the estimated flow rate</w:t>
      </w:r>
      <w:r w:rsidR="00CC6EED">
        <w:rPr>
          <w:color w:val="000000" w:themeColor="text1"/>
        </w:rPr>
        <w:t>,</w:t>
      </w:r>
      <w:r>
        <w:rPr>
          <w:color w:val="000000" w:themeColor="text1"/>
        </w:rPr>
        <w:t xml:space="preserve"> instead of the maximum potential flow rate</w:t>
      </w:r>
      <w:r w:rsidR="00CC6EED">
        <w:rPr>
          <w:color w:val="000000" w:themeColor="text1"/>
        </w:rPr>
        <w:t>,</w:t>
      </w:r>
      <w:r>
        <w:rPr>
          <w:color w:val="000000" w:themeColor="text1"/>
        </w:rPr>
        <w:t xml:space="preserve"> in the Recordkeeping Requirements Section.  Tr. Vol. 9, 3150:24-3151:3 (Bisbey-Kuehn). </w:t>
      </w:r>
    </w:p>
    <w:p w14:paraId="16A07485" w14:textId="1EDE4F84" w:rsidR="00971221" w:rsidRDefault="00971221" w:rsidP="00A93928">
      <w:pPr>
        <w:pStyle w:val="ListParagraph"/>
        <w:numPr>
          <w:ilvl w:val="0"/>
          <w:numId w:val="2"/>
        </w:numPr>
        <w:spacing w:line="480" w:lineRule="auto"/>
        <w:ind w:left="0" w:firstLine="720"/>
        <w:jc w:val="both"/>
      </w:pPr>
      <w:r>
        <w:rPr>
          <w:color w:val="000000" w:themeColor="text1"/>
        </w:rPr>
        <w:t xml:space="preserve">EDF also testified that it supports the use of artificial lifts </w:t>
      </w:r>
      <w:proofErr w:type="gramStart"/>
      <w:r>
        <w:rPr>
          <w:color w:val="000000" w:themeColor="text1"/>
        </w:rPr>
        <w:t>as a way to</w:t>
      </w:r>
      <w:proofErr w:type="gramEnd"/>
      <w:r>
        <w:rPr>
          <w:color w:val="000000" w:themeColor="text1"/>
        </w:rPr>
        <w:t xml:space="preserve"> increase production, enhance well economics and reduce emissions.  Tr. Vol. 10, 3221:4-9 (Alexander).</w:t>
      </w:r>
    </w:p>
    <w:p w14:paraId="64C7E196" w14:textId="642698D2" w:rsidR="00B67AC0" w:rsidRDefault="00B67AC0" w:rsidP="00EC7B89">
      <w:pPr>
        <w:pStyle w:val="ListParagraph"/>
        <w:numPr>
          <w:ilvl w:val="0"/>
          <w:numId w:val="2"/>
        </w:numPr>
        <w:spacing w:after="0" w:line="480" w:lineRule="auto"/>
        <w:ind w:left="0" w:firstLine="720"/>
        <w:jc w:val="both"/>
      </w:pPr>
      <w:r>
        <w:t xml:space="preserve">The </w:t>
      </w:r>
      <w:r w:rsidR="00A62BD1">
        <w:t>Board</w:t>
      </w:r>
      <w:r>
        <w:t xml:space="preserve"> finds that the language as proposed in the </w:t>
      </w:r>
      <w:r w:rsidR="00196A62">
        <w:t xml:space="preserve">September </w:t>
      </w:r>
      <w:r w:rsidR="00FB5AFC">
        <w:t>16</w:t>
      </w:r>
      <w:r>
        <w:t xml:space="preserve">, 2021, version of the rule for 20.2.50.117 </w:t>
      </w:r>
      <w:r w:rsidR="00392EB0">
        <w:t xml:space="preserve">NMAC </w:t>
      </w:r>
      <w:r w:rsidR="004B7847">
        <w:t xml:space="preserve">and modified in </w:t>
      </w:r>
      <w:r w:rsidR="0065354F">
        <w:t>IPANM’s Proposed Final Rule</w:t>
      </w:r>
      <w:r w:rsidR="004B7847">
        <w:t xml:space="preserve"> </w:t>
      </w:r>
      <w:r w:rsidRPr="00392EB0">
        <w:t>is</w:t>
      </w:r>
      <w:r>
        <w:t xml:space="preserve"> appropriate as it provides sufficient flexibility for operators to choose the most appropriate methodology to employ during a manual unloading event. </w:t>
      </w:r>
    </w:p>
    <w:p w14:paraId="44F88100" w14:textId="5714362B" w:rsidR="007519EE" w:rsidRDefault="007519EE" w:rsidP="007519EE">
      <w:pPr>
        <w:pStyle w:val="Heading2"/>
      </w:pPr>
      <w:bookmarkStart w:id="17" w:name="_Toc93581895"/>
      <w:r>
        <w:t xml:space="preserve">29.2.50.120 </w:t>
      </w:r>
      <w:r w:rsidR="00CC6EED">
        <w:t xml:space="preserve">NMAC </w:t>
      </w:r>
      <w:r>
        <w:t>Hydrocarbon Liquid Transfers</w:t>
      </w:r>
      <w:bookmarkEnd w:id="17"/>
      <w:r>
        <w:t xml:space="preserve"> </w:t>
      </w:r>
    </w:p>
    <w:p w14:paraId="2B9AD781" w14:textId="0410CB5A" w:rsidR="004911D2" w:rsidRDefault="004911D2" w:rsidP="004911D2">
      <w:pPr>
        <w:pStyle w:val="ListParagraph"/>
        <w:numPr>
          <w:ilvl w:val="0"/>
          <w:numId w:val="2"/>
        </w:numPr>
        <w:spacing w:after="0" w:line="480" w:lineRule="auto"/>
        <w:ind w:left="0" w:firstLine="720"/>
      </w:pPr>
      <w:r>
        <w:t>IPANM supports a limit of 13 hydrocarbon liquid load out events to trucks per year.</w:t>
      </w:r>
    </w:p>
    <w:p w14:paraId="5821486D" w14:textId="1C665501" w:rsidR="007519EE" w:rsidRPr="007519EE" w:rsidRDefault="004911D2" w:rsidP="004911D2">
      <w:pPr>
        <w:pStyle w:val="ListParagraph"/>
        <w:numPr>
          <w:ilvl w:val="0"/>
          <w:numId w:val="2"/>
        </w:numPr>
        <w:spacing w:after="0" w:line="480" w:lineRule="auto"/>
        <w:ind w:left="0" w:firstLine="720"/>
      </w:pPr>
      <w:r w:rsidRPr="004911D2">
        <w:t xml:space="preserve">The </w:t>
      </w:r>
      <w:r w:rsidR="00A62BD1">
        <w:t>Board</w:t>
      </w:r>
      <w:r w:rsidRPr="004911D2">
        <w:t xml:space="preserve"> finds that the language as proposed in </w:t>
      </w:r>
      <w:r w:rsidR="0065354F">
        <w:t>NMED’s</w:t>
      </w:r>
      <w:r w:rsidRPr="004911D2">
        <w:t xml:space="preserve"> </w:t>
      </w:r>
      <w:r w:rsidR="00196A62">
        <w:t>September</w:t>
      </w:r>
      <w:r w:rsidR="00196A62" w:rsidRPr="004911D2">
        <w:t xml:space="preserve"> </w:t>
      </w:r>
      <w:r w:rsidRPr="004911D2">
        <w:t>16, 2021</w:t>
      </w:r>
      <w:r>
        <w:t>,</w:t>
      </w:r>
      <w:r w:rsidRPr="004911D2">
        <w:t xml:space="preserve"> version of 20.2.50.120</w:t>
      </w:r>
      <w:r w:rsidR="00CC6EED">
        <w:t xml:space="preserve"> NMAC</w:t>
      </w:r>
      <w:r w:rsidRPr="004911D2">
        <w:t xml:space="preserve"> is appropriate. </w:t>
      </w:r>
    </w:p>
    <w:p w14:paraId="324869F1" w14:textId="039EF651" w:rsidR="00A747C2" w:rsidRDefault="00A747C2" w:rsidP="00E529BF">
      <w:pPr>
        <w:pStyle w:val="Heading2"/>
        <w:keepNext/>
      </w:pPr>
      <w:bookmarkStart w:id="18" w:name="_Toc93581896"/>
      <w:r>
        <w:lastRenderedPageBreak/>
        <w:t xml:space="preserve">20.2.50.122 </w:t>
      </w:r>
      <w:r w:rsidR="00CC6EED">
        <w:t xml:space="preserve">NMAC </w:t>
      </w:r>
      <w:r>
        <w:t>Pneumatic Controllers and Pumps</w:t>
      </w:r>
      <w:bookmarkEnd w:id="18"/>
    </w:p>
    <w:p w14:paraId="57780D65" w14:textId="71A5C8BE" w:rsidR="003F4A5E" w:rsidRDefault="00682F59" w:rsidP="00E529BF">
      <w:pPr>
        <w:pStyle w:val="ListParagraph"/>
        <w:keepNext/>
        <w:numPr>
          <w:ilvl w:val="0"/>
          <w:numId w:val="2"/>
        </w:numPr>
        <w:spacing w:line="480" w:lineRule="auto"/>
        <w:ind w:left="0" w:firstLine="720"/>
        <w:jc w:val="both"/>
      </w:pPr>
      <w:r>
        <w:t>NMED p</w:t>
      </w:r>
      <w:r w:rsidR="00CC6EED">
        <w:t xml:space="preserve">roposed </w:t>
      </w:r>
      <w:r w:rsidR="0019688D">
        <w:t xml:space="preserve">20.2.50.122 </w:t>
      </w:r>
      <w:r w:rsidR="00CC6EED">
        <w:t xml:space="preserve">NMAC </w:t>
      </w:r>
      <w:r w:rsidR="0019688D">
        <w:t xml:space="preserve">applies to natural gas-driven pneumatic controllers and pumps, that are located at well sites, tank batteries, gathering and boosting stations, natural gas processing plants, and natural gas compressor stations.  </w:t>
      </w:r>
      <w:r w:rsidR="0019688D">
        <w:rPr>
          <w:b/>
          <w:bCs/>
        </w:rPr>
        <w:t>NMED Ex. 32</w:t>
      </w:r>
      <w:r w:rsidR="0019688D">
        <w:t xml:space="preserve"> at 122 (</w:t>
      </w:r>
      <w:r w:rsidR="00160057">
        <w:t>Bisbey-Kuehn</w:t>
      </w:r>
      <w:r w:rsidR="0019688D">
        <w:t>/Palmer Direct).</w:t>
      </w:r>
    </w:p>
    <w:p w14:paraId="39A4826B" w14:textId="269D0B59" w:rsidR="0019688D" w:rsidRDefault="0019688D" w:rsidP="0019688D">
      <w:pPr>
        <w:pStyle w:val="ListParagraph"/>
        <w:numPr>
          <w:ilvl w:val="0"/>
          <w:numId w:val="2"/>
        </w:numPr>
        <w:spacing w:line="480" w:lineRule="auto"/>
        <w:ind w:left="0" w:firstLine="720"/>
        <w:jc w:val="both"/>
      </w:pPr>
      <w:r>
        <w:t xml:space="preserve">The Department’s proposal is </w:t>
      </w:r>
      <w:r w:rsidR="00CC6EED">
        <w:t>intended to</w:t>
      </w:r>
      <w:r>
        <w:t xml:space="preserve"> reduce emissions from pneumatic controllers by </w:t>
      </w:r>
      <w:r w:rsidR="005B22BF">
        <w:t>replacing</w:t>
      </w:r>
      <w:r>
        <w:t xml:space="preserve"> high bleed controllers with low bleed or zero bleed models, using instrument air</w:t>
      </w:r>
      <w:r w:rsidR="00370B89">
        <w:t>,</w:t>
      </w:r>
      <w:r>
        <w:t xml:space="preserve"> rather than natural gas</w:t>
      </w:r>
      <w:r w:rsidR="00370B89">
        <w:t>,</w:t>
      </w:r>
      <w:r>
        <w:t xml:space="preserve"> to drive controllers.  </w:t>
      </w:r>
      <w:r>
        <w:rPr>
          <w:b/>
          <w:bCs/>
        </w:rPr>
        <w:t>NMED Ex. 32</w:t>
      </w:r>
      <w:r>
        <w:t xml:space="preserve"> at 125 (</w:t>
      </w:r>
      <w:r w:rsidR="00160057">
        <w:t>Bisbey-Kuehn</w:t>
      </w:r>
      <w:r>
        <w:t xml:space="preserve">/Palmer Direct). </w:t>
      </w:r>
    </w:p>
    <w:p w14:paraId="63610957" w14:textId="37BB1647" w:rsidR="005B22BF" w:rsidRDefault="005B22BF" w:rsidP="0019688D">
      <w:pPr>
        <w:pStyle w:val="ListParagraph"/>
        <w:numPr>
          <w:ilvl w:val="0"/>
          <w:numId w:val="2"/>
        </w:numPr>
        <w:spacing w:line="480" w:lineRule="auto"/>
        <w:ind w:left="0" w:firstLine="720"/>
        <w:jc w:val="both"/>
      </w:pPr>
      <w:r>
        <w:t xml:space="preserve">Pneumatic controllers are “critical for the safe and efficient operation of process equipment in remote areas.”  </w:t>
      </w:r>
      <w:r>
        <w:rPr>
          <w:b/>
          <w:bCs/>
        </w:rPr>
        <w:t xml:space="preserve">IPANM Ex. 2 </w:t>
      </w:r>
      <w:r>
        <w:t xml:space="preserve">at 13 (Davis Direct). </w:t>
      </w:r>
    </w:p>
    <w:p w14:paraId="1F527E55" w14:textId="2A9715AC" w:rsidR="00966FC9" w:rsidRDefault="00966FC9" w:rsidP="0019688D">
      <w:pPr>
        <w:pStyle w:val="ListParagraph"/>
        <w:numPr>
          <w:ilvl w:val="0"/>
          <w:numId w:val="2"/>
        </w:numPr>
        <w:spacing w:line="480" w:lineRule="auto"/>
        <w:ind w:left="0" w:firstLine="720"/>
        <w:jc w:val="both"/>
      </w:pPr>
      <w:r>
        <w:t xml:space="preserve">A pneumatic controller is a “process control device used throughout the oil and natural gas industry as part of the instrumentation to control the position of valves.”  </w:t>
      </w:r>
      <w:r>
        <w:rPr>
          <w:b/>
          <w:bCs/>
        </w:rPr>
        <w:t>NMED Ex. 32</w:t>
      </w:r>
      <w:r>
        <w:t xml:space="preserve"> at 122 (Bisbey-Kuehn/Palmer Direct).</w:t>
      </w:r>
    </w:p>
    <w:p w14:paraId="01272EBF" w14:textId="6B2C40F0" w:rsidR="00966FC9" w:rsidRDefault="00966FC9" w:rsidP="0019688D">
      <w:pPr>
        <w:pStyle w:val="ListParagraph"/>
        <w:numPr>
          <w:ilvl w:val="0"/>
          <w:numId w:val="2"/>
        </w:numPr>
        <w:spacing w:line="480" w:lineRule="auto"/>
        <w:ind w:left="0" w:firstLine="720"/>
        <w:jc w:val="both"/>
      </w:pPr>
      <w:r>
        <w:t xml:space="preserve">Pneumatic controllers can be powered by natural gas or compressed instrument air.  </w:t>
      </w:r>
      <w:r>
        <w:rPr>
          <w:b/>
          <w:bCs/>
        </w:rPr>
        <w:t xml:space="preserve">NMED Ex. 32 </w:t>
      </w:r>
      <w:r>
        <w:t xml:space="preserve">at 122-23 (Bisbey-Kuehn/Palmer Direct).  The controllers can regulate safety shut-downs, positions, fluid levels, pressure, temperature, and flow rate in oil and natural gas production and processing.  </w:t>
      </w:r>
      <w:r>
        <w:rPr>
          <w:b/>
          <w:bCs/>
          <w:i/>
          <w:iCs/>
        </w:rPr>
        <w:t>Id.</w:t>
      </w:r>
      <w:r>
        <w:rPr>
          <w:b/>
          <w:bCs/>
        </w:rPr>
        <w:t xml:space="preserve"> </w:t>
      </w:r>
    </w:p>
    <w:p w14:paraId="17766B52" w14:textId="5BDDB7C7" w:rsidR="00C0346E" w:rsidRDefault="00C0346E" w:rsidP="0019688D">
      <w:pPr>
        <w:pStyle w:val="ListParagraph"/>
        <w:numPr>
          <w:ilvl w:val="0"/>
          <w:numId w:val="2"/>
        </w:numPr>
        <w:spacing w:line="480" w:lineRule="auto"/>
        <w:ind w:left="0" w:firstLine="720"/>
        <w:jc w:val="both"/>
      </w:pPr>
      <w:r>
        <w:t>IPANM oppose</w:t>
      </w:r>
      <w:r w:rsidR="00CC6EED">
        <w:t>d</w:t>
      </w:r>
      <w:r>
        <w:t xml:space="preserve"> the Department’s proposal because it is difficult to cost effectively replace gas-driven pneumatic controllers that are currently used.  </w:t>
      </w:r>
      <w:r>
        <w:rPr>
          <w:b/>
          <w:bCs/>
        </w:rPr>
        <w:t xml:space="preserve">IPANM Ex. 2 </w:t>
      </w:r>
      <w:r>
        <w:t>at 13 (Davis Direct).</w:t>
      </w:r>
      <w:r w:rsidR="004D42EE">
        <w:t xml:space="preserve">  </w:t>
      </w:r>
      <w:r w:rsidR="0053513D">
        <w:t>Mr. Davis testified that i</w:t>
      </w:r>
      <w:r w:rsidR="004D42EE">
        <w:t>nstrument air is the best solution for running pneumatic controllers in terms of performance and reliability</w:t>
      </w:r>
      <w:r w:rsidR="008E2436">
        <w:t>;</w:t>
      </w:r>
      <w:r w:rsidR="004D42EE">
        <w:t xml:space="preserve"> however</w:t>
      </w:r>
      <w:r w:rsidR="008E2436">
        <w:t>,</w:t>
      </w:r>
      <w:r w:rsidR="004D42EE">
        <w:t xml:space="preserve"> it is extremely difficult to operate an </w:t>
      </w:r>
      <w:r w:rsidR="004D42EE">
        <w:lastRenderedPageBreak/>
        <w:t>instrument air system without line power</w:t>
      </w:r>
      <w:r w:rsidR="0053513D">
        <w:t>,</w:t>
      </w:r>
      <w:r w:rsidR="004D42EE">
        <w:t xml:space="preserve"> which is largely unavailable as most sites</w:t>
      </w:r>
      <w:r w:rsidR="00682F59">
        <w:t xml:space="preserve"> in Northwest New Mexico</w:t>
      </w:r>
      <w:r w:rsidR="004D42EE">
        <w:t xml:space="preserve">.  </w:t>
      </w:r>
      <w:r w:rsidR="004D42EE">
        <w:rPr>
          <w:b/>
          <w:bCs/>
        </w:rPr>
        <w:t>IPANM Ex. 2</w:t>
      </w:r>
      <w:r w:rsidR="004D42EE">
        <w:t xml:space="preserve"> at 13.  (Davis Direct).</w:t>
      </w:r>
    </w:p>
    <w:p w14:paraId="221C7A58" w14:textId="3042072D" w:rsidR="00BD55EE" w:rsidRDefault="0053513D" w:rsidP="0019688D">
      <w:pPr>
        <w:pStyle w:val="ListParagraph"/>
        <w:numPr>
          <w:ilvl w:val="0"/>
          <w:numId w:val="2"/>
        </w:numPr>
        <w:spacing w:line="480" w:lineRule="auto"/>
        <w:ind w:left="0" w:firstLine="720"/>
        <w:jc w:val="both"/>
      </w:pPr>
      <w:r>
        <w:t>Mr. Smitherman</w:t>
      </w:r>
      <w:r w:rsidR="00BD55EE">
        <w:t xml:space="preserve"> commented that given the very remote locations of these pads, “it is highly impractical to require something other than natural gas operated pneumatics devices in these situations.”  </w:t>
      </w:r>
      <w:r w:rsidR="00BD55EE">
        <w:rPr>
          <w:b/>
          <w:bCs/>
        </w:rPr>
        <w:t>NMOGA Appendix A1</w:t>
      </w:r>
      <w:r w:rsidR="00BD55EE">
        <w:t xml:space="preserve"> at 28-29 (Smitherman Direct). </w:t>
      </w:r>
    </w:p>
    <w:p w14:paraId="66E52875" w14:textId="20CDD41F" w:rsidR="00B964CA" w:rsidRDefault="0053513D" w:rsidP="0019688D">
      <w:pPr>
        <w:pStyle w:val="ListParagraph"/>
        <w:numPr>
          <w:ilvl w:val="0"/>
          <w:numId w:val="2"/>
        </w:numPr>
        <w:spacing w:line="480" w:lineRule="auto"/>
        <w:ind w:left="0" w:firstLine="720"/>
        <w:jc w:val="both"/>
      </w:pPr>
      <w:r>
        <w:t>Mr. Davis testified</w:t>
      </w:r>
      <w:r w:rsidR="006365CC">
        <w:t xml:space="preserve"> that </w:t>
      </w:r>
      <w:r w:rsidR="00682F59">
        <w:t xml:space="preserve">IPANM </w:t>
      </w:r>
      <w:r>
        <w:t>members</w:t>
      </w:r>
      <w:r w:rsidR="006365CC">
        <w:t xml:space="preserve"> attempted </w:t>
      </w:r>
      <w:r w:rsidR="00682F59">
        <w:t xml:space="preserve">to use </w:t>
      </w:r>
      <w:r w:rsidR="006365CC">
        <w:t>other means to install instrument air systems for sites without line power</w:t>
      </w:r>
      <w:r>
        <w:t>,</w:t>
      </w:r>
      <w:r w:rsidR="006365CC">
        <w:t xml:space="preserve"> such as a solar power system.  </w:t>
      </w:r>
      <w:r w:rsidR="006365CC">
        <w:rPr>
          <w:b/>
          <w:bCs/>
        </w:rPr>
        <w:t>IPANM Ex. 2</w:t>
      </w:r>
      <w:r w:rsidR="006365CC">
        <w:t xml:space="preserve"> at 14 (Davis Direct).  Mr. Davis </w:t>
      </w:r>
      <w:r>
        <w:t>expressed concern about</w:t>
      </w:r>
      <w:r w:rsidR="006365CC">
        <w:t xml:space="preserve"> the reliability of solar </w:t>
      </w:r>
      <w:r>
        <w:t xml:space="preserve">power </w:t>
      </w:r>
      <w:r w:rsidR="006365CC">
        <w:t xml:space="preserve">and the cost of installation.  </w:t>
      </w:r>
      <w:r w:rsidR="006365CC">
        <w:rPr>
          <w:b/>
          <w:bCs/>
        </w:rPr>
        <w:t>IPANM Ex. 2</w:t>
      </w:r>
      <w:r w:rsidR="006365CC">
        <w:t xml:space="preserve"> at 14 (Davis Direct).</w:t>
      </w:r>
      <w:r w:rsidR="000E2C7E">
        <w:t xml:space="preserve">  IPANM also attempted a pilot project with rotary electric actuators and still had </w:t>
      </w:r>
      <w:proofErr w:type="gramStart"/>
      <w:r w:rsidR="000E2C7E">
        <w:t>a number of</w:t>
      </w:r>
      <w:proofErr w:type="gramEnd"/>
      <w:r w:rsidR="000E2C7E">
        <w:t xml:space="preserve"> malfunctions</w:t>
      </w:r>
      <w:r>
        <w:t>,</w:t>
      </w:r>
      <w:r w:rsidR="000E2C7E">
        <w:t xml:space="preserve"> including an increase in the amount of gas sent to the tanks due to the actuators not being able to close quickly enough.  </w:t>
      </w:r>
      <w:r w:rsidR="000E2C7E">
        <w:rPr>
          <w:b/>
          <w:bCs/>
        </w:rPr>
        <w:t>IPANM Ex. 2</w:t>
      </w:r>
      <w:r w:rsidR="000E2C7E">
        <w:t xml:space="preserve"> at 15 (Davis Direct). </w:t>
      </w:r>
    </w:p>
    <w:p w14:paraId="5C74FCBD" w14:textId="4E2F5418" w:rsidR="00BD55EE" w:rsidRDefault="000711CD" w:rsidP="0019688D">
      <w:pPr>
        <w:pStyle w:val="ListParagraph"/>
        <w:numPr>
          <w:ilvl w:val="0"/>
          <w:numId w:val="2"/>
        </w:numPr>
        <w:spacing w:line="480" w:lineRule="auto"/>
        <w:ind w:left="0" w:firstLine="720"/>
        <w:jc w:val="both"/>
      </w:pPr>
      <w:r>
        <w:t>IPANM</w:t>
      </w:r>
      <w:r w:rsidR="00BD55EE">
        <w:t xml:space="preserve"> and NMOGA</w:t>
      </w:r>
      <w:r>
        <w:t xml:space="preserve"> suggest</w:t>
      </w:r>
      <w:r w:rsidR="0053513D">
        <w:t>ed</w:t>
      </w:r>
      <w:r>
        <w:t xml:space="preserve"> an approach</w:t>
      </w:r>
      <w:r w:rsidR="00682F59">
        <w:t>,</w:t>
      </w:r>
      <w:r>
        <w:t xml:space="preserve"> similar to Colorado</w:t>
      </w:r>
      <w:r w:rsidR="00682F59">
        <w:t>,</w:t>
      </w:r>
      <w:r>
        <w:t xml:space="preserve"> that </w:t>
      </w:r>
      <w:proofErr w:type="gramStart"/>
      <w:r>
        <w:t>couples</w:t>
      </w:r>
      <w:proofErr w:type="gramEnd"/>
      <w:r>
        <w:t xml:space="preserve"> regulations to phase-out gas-driven pneumatics with a percentage of liquid production approach and use of intermittent bleed pneumatic controls.  </w:t>
      </w:r>
      <w:r>
        <w:rPr>
          <w:b/>
          <w:bCs/>
        </w:rPr>
        <w:t>IPANM Ex. 2</w:t>
      </w:r>
      <w:r>
        <w:t xml:space="preserve"> at 15 (Davis Direct)</w:t>
      </w:r>
      <w:r w:rsidR="00BD55EE">
        <w:t xml:space="preserve">; </w:t>
      </w:r>
      <w:r w:rsidR="00BD55EE">
        <w:rPr>
          <w:b/>
          <w:bCs/>
        </w:rPr>
        <w:t>NMOGA Appendix A1</w:t>
      </w:r>
      <w:r w:rsidR="00BD55EE">
        <w:t xml:space="preserve"> at 29 (Smitherman Direct).</w:t>
      </w:r>
    </w:p>
    <w:p w14:paraId="49A92BAA" w14:textId="77777777" w:rsidR="00BD55EE" w:rsidRDefault="00BD55EE" w:rsidP="0019688D">
      <w:pPr>
        <w:pStyle w:val="ListParagraph"/>
        <w:numPr>
          <w:ilvl w:val="0"/>
          <w:numId w:val="2"/>
        </w:numPr>
        <w:spacing w:line="480" w:lineRule="auto"/>
        <w:ind w:left="0" w:firstLine="720"/>
        <w:jc w:val="both"/>
      </w:pPr>
      <w:r>
        <w:t xml:space="preserve">NMOGA suggested the Department focus on larger sites that are more likely to have line power, making a transition to instrument air more cost effective.  </w:t>
      </w:r>
      <w:r>
        <w:rPr>
          <w:b/>
          <w:bCs/>
        </w:rPr>
        <w:t xml:space="preserve">NMOGA Appendix A1 </w:t>
      </w:r>
      <w:r>
        <w:t>at 29 (Smitherman Direct).</w:t>
      </w:r>
    </w:p>
    <w:p w14:paraId="5C55C213" w14:textId="59050D62" w:rsidR="00730620" w:rsidRDefault="00121206" w:rsidP="0019688D">
      <w:pPr>
        <w:pStyle w:val="ListParagraph"/>
        <w:numPr>
          <w:ilvl w:val="0"/>
          <w:numId w:val="2"/>
        </w:numPr>
        <w:spacing w:line="480" w:lineRule="auto"/>
        <w:ind w:left="0" w:firstLine="720"/>
        <w:jc w:val="both"/>
      </w:pPr>
      <w:r>
        <w:t xml:space="preserve">Oxy also recommended basing a phase out on historic liquids production, rather than number of controllers at a specific site. </w:t>
      </w:r>
      <w:r>
        <w:rPr>
          <w:b/>
          <w:bCs/>
        </w:rPr>
        <w:t>Oxy Ex. 2</w:t>
      </w:r>
      <w:r>
        <w:t xml:space="preserve"> at 14 (Holderman Direct).  This would mean that the controllers that are actuated more frequently are the first to be phased-out.  </w:t>
      </w:r>
      <w:r>
        <w:rPr>
          <w:b/>
          <w:bCs/>
        </w:rPr>
        <w:t>Oxy Ex. 2</w:t>
      </w:r>
      <w:r>
        <w:t xml:space="preserve"> at 14 (Holderman Direct). </w:t>
      </w:r>
    </w:p>
    <w:p w14:paraId="228D9E5B" w14:textId="5A6943DE" w:rsidR="000711CD" w:rsidRDefault="00730620" w:rsidP="0019688D">
      <w:pPr>
        <w:pStyle w:val="ListParagraph"/>
        <w:numPr>
          <w:ilvl w:val="0"/>
          <w:numId w:val="2"/>
        </w:numPr>
        <w:spacing w:line="480" w:lineRule="auto"/>
        <w:ind w:left="0" w:firstLine="720"/>
        <w:jc w:val="both"/>
      </w:pPr>
      <w:r>
        <w:lastRenderedPageBreak/>
        <w:t xml:space="preserve">GCA encouraged the Department to treat intermittent pneumatic controllers similarly to non-emitting controllers recognizing that intermittent controllers only emit during the actuation cycle.  </w:t>
      </w:r>
      <w:r>
        <w:rPr>
          <w:b/>
          <w:bCs/>
        </w:rPr>
        <w:t>GCA Ex. 17</w:t>
      </w:r>
      <w:r>
        <w:t xml:space="preserve"> at 5 (Carr Direct).</w:t>
      </w:r>
    </w:p>
    <w:p w14:paraId="135D8899" w14:textId="289876C6" w:rsidR="00385FC2" w:rsidRDefault="00385FC2" w:rsidP="0019688D">
      <w:pPr>
        <w:pStyle w:val="ListParagraph"/>
        <w:numPr>
          <w:ilvl w:val="0"/>
          <w:numId w:val="2"/>
        </w:numPr>
        <w:spacing w:line="480" w:lineRule="auto"/>
        <w:ind w:left="0" w:firstLine="720"/>
        <w:jc w:val="both"/>
      </w:pPr>
      <w:r>
        <w:t xml:space="preserve">EDF encouraged NMED to move up the proposed retrofit schedule of gas-powered pneumatic controllers.  </w:t>
      </w:r>
      <w:r>
        <w:rPr>
          <w:b/>
          <w:bCs/>
        </w:rPr>
        <w:t>EDF Ex. RR</w:t>
      </w:r>
      <w:r>
        <w:t xml:space="preserve"> at 9 (Lyon Direct); </w:t>
      </w:r>
      <w:r>
        <w:rPr>
          <w:b/>
          <w:bCs/>
        </w:rPr>
        <w:t>EDF Ex. UU</w:t>
      </w:r>
      <w:r>
        <w:t xml:space="preserve"> at 14 (Alexander Direct). </w:t>
      </w:r>
    </w:p>
    <w:p w14:paraId="4AAD3BD0" w14:textId="526A9D9B" w:rsidR="002E1272" w:rsidRDefault="002E1272" w:rsidP="002E1272">
      <w:pPr>
        <w:pStyle w:val="ListParagraph"/>
        <w:numPr>
          <w:ilvl w:val="0"/>
          <w:numId w:val="2"/>
        </w:numPr>
        <w:spacing w:line="480" w:lineRule="auto"/>
        <w:ind w:left="0" w:firstLine="720"/>
        <w:jc w:val="both"/>
      </w:pPr>
      <w:r>
        <w:t>CAA testified in support of zero emission pneumatic controllers and highlighted solar and electric technology that make this possible.</w:t>
      </w:r>
      <w:r w:rsidR="006673CD">
        <w:t xml:space="preserve">  CAA also believes that these methods are cost-effective to implement through retrofits</w:t>
      </w:r>
      <w:r w:rsidR="00BD142A">
        <w:t>.</w:t>
      </w:r>
      <w:r>
        <w:t xml:space="preserve">  </w:t>
      </w:r>
      <w:r>
        <w:rPr>
          <w:b/>
          <w:bCs/>
        </w:rPr>
        <w:t>CAA Ex. 3</w:t>
      </w:r>
      <w:r>
        <w:t xml:space="preserve"> at 8-10</w:t>
      </w:r>
      <w:r w:rsidR="002B500D">
        <w:t xml:space="preserve"> </w:t>
      </w:r>
      <w:r>
        <w:t>(McCabe Direct).</w:t>
      </w:r>
    </w:p>
    <w:p w14:paraId="29155470" w14:textId="230F1E01" w:rsidR="002E1272" w:rsidRPr="000B4D85" w:rsidRDefault="006673CD" w:rsidP="002E1272">
      <w:pPr>
        <w:pStyle w:val="ListParagraph"/>
        <w:numPr>
          <w:ilvl w:val="0"/>
          <w:numId w:val="2"/>
        </w:numPr>
        <w:spacing w:line="480" w:lineRule="auto"/>
        <w:ind w:left="0" w:firstLine="720"/>
        <w:jc w:val="both"/>
      </w:pPr>
      <w:r>
        <w:t>CAA proposed modification</w:t>
      </w:r>
      <w:r w:rsidR="0042096E">
        <w:t>s</w:t>
      </w:r>
      <w:r>
        <w:t xml:space="preserve"> that would accelerate the compliance timeline, increase the fraction of non-emitting controllers by a fixed percentage, and provide an incentive to operators who convert 75% of their controllers early.</w:t>
      </w:r>
      <w:r w:rsidR="0042096E">
        <w:t xml:space="preserve">  </w:t>
      </w:r>
      <w:r w:rsidR="0042096E">
        <w:rPr>
          <w:b/>
          <w:bCs/>
        </w:rPr>
        <w:t xml:space="preserve"> </w:t>
      </w:r>
    </w:p>
    <w:p w14:paraId="15FECE4E" w14:textId="1A41E546" w:rsidR="000B4D85" w:rsidRDefault="000B4D85" w:rsidP="002E1272">
      <w:pPr>
        <w:pStyle w:val="ListParagraph"/>
        <w:numPr>
          <w:ilvl w:val="0"/>
          <w:numId w:val="2"/>
        </w:numPr>
        <w:spacing w:line="480" w:lineRule="auto"/>
        <w:ind w:left="0" w:firstLine="720"/>
        <w:jc w:val="both"/>
      </w:pPr>
      <w:r>
        <w:t xml:space="preserve">NMED revised the section </w:t>
      </w:r>
      <w:r w:rsidR="0053513D">
        <w:t>in response</w:t>
      </w:r>
      <w:r>
        <w:t xml:space="preserve"> the comments received from all the parties.  </w:t>
      </w:r>
      <w:r>
        <w:rPr>
          <w:b/>
          <w:bCs/>
        </w:rPr>
        <w:t>NMED Rebuttal Ex. 2</w:t>
      </w:r>
      <w:r>
        <w:t>.</w:t>
      </w:r>
    </w:p>
    <w:p w14:paraId="21E6FB66" w14:textId="7AEE62A4" w:rsidR="000B4D85" w:rsidRDefault="000B4D85" w:rsidP="002E1272">
      <w:pPr>
        <w:pStyle w:val="ListParagraph"/>
        <w:numPr>
          <w:ilvl w:val="0"/>
          <w:numId w:val="2"/>
        </w:numPr>
        <w:spacing w:line="480" w:lineRule="auto"/>
        <w:ind w:left="0" w:firstLine="720"/>
        <w:jc w:val="both"/>
      </w:pPr>
      <w:r>
        <w:t>NMED disagreed with utilizing the “Colorado Approach” of regulating pneumatic controllers based on historic production volume</w:t>
      </w:r>
      <w:r w:rsidR="00FF3182">
        <w:t>,</w:t>
      </w:r>
      <w:r>
        <w:t xml:space="preserve"> because that approach was based on already reduced emissions from previous regulatory efforts.  </w:t>
      </w:r>
      <w:r>
        <w:rPr>
          <w:b/>
          <w:bCs/>
        </w:rPr>
        <w:t>NMED Rebuttal Ex. 1</w:t>
      </w:r>
      <w:r>
        <w:t xml:space="preserve"> at 83-84 (</w:t>
      </w:r>
      <w:r w:rsidR="00160057">
        <w:t>Bisbey-Kuehn</w:t>
      </w:r>
      <w:r>
        <w:t xml:space="preserve">/Palmer Rebuttal). </w:t>
      </w:r>
    </w:p>
    <w:p w14:paraId="7CB5ABA1" w14:textId="7CFEB60E" w:rsidR="00D627D8" w:rsidRDefault="00D627D8" w:rsidP="002E1272">
      <w:pPr>
        <w:pStyle w:val="ListParagraph"/>
        <w:numPr>
          <w:ilvl w:val="0"/>
          <w:numId w:val="2"/>
        </w:numPr>
        <w:spacing w:line="480" w:lineRule="auto"/>
        <w:ind w:left="0" w:firstLine="720"/>
        <w:jc w:val="both"/>
      </w:pPr>
      <w:r>
        <w:t xml:space="preserve">NMED’s revisions include allowing for exclusion from 20.2.50.122 NMAC </w:t>
      </w:r>
      <w:r w:rsidR="00FF3182">
        <w:t xml:space="preserve">for </w:t>
      </w:r>
      <w:r>
        <w:t xml:space="preserve">temporary and portable pneumatic controllers that are used in specific activities.  </w:t>
      </w:r>
      <w:r>
        <w:rPr>
          <w:b/>
          <w:bCs/>
        </w:rPr>
        <w:t xml:space="preserve">NMED Rebuttal Ex. 2 </w:t>
      </w:r>
      <w:r>
        <w:t xml:space="preserve">at 30. (Proposed 20.2.50 NMAC- Sept. 7, </w:t>
      </w:r>
      <w:proofErr w:type="gramStart"/>
      <w:r>
        <w:t>2021</w:t>
      </w:r>
      <w:proofErr w:type="gramEnd"/>
      <w:r>
        <w:t xml:space="preserve"> Version). </w:t>
      </w:r>
    </w:p>
    <w:p w14:paraId="056315D9" w14:textId="1A973ABA" w:rsidR="00D627D8" w:rsidRDefault="00D627D8" w:rsidP="002E1272">
      <w:pPr>
        <w:pStyle w:val="ListParagraph"/>
        <w:numPr>
          <w:ilvl w:val="0"/>
          <w:numId w:val="2"/>
        </w:numPr>
        <w:spacing w:line="480" w:lineRule="auto"/>
        <w:ind w:left="0" w:firstLine="720"/>
        <w:jc w:val="both"/>
      </w:pPr>
      <w:r>
        <w:t>In rebuttal</w:t>
      </w:r>
      <w:r w:rsidR="004F14DB">
        <w:t>, IPANM</w:t>
      </w:r>
      <w:r w:rsidR="008E2436">
        <w:t xml:space="preserve"> and </w:t>
      </w:r>
      <w:r w:rsidR="00E21A9C">
        <w:t>NMOGA</w:t>
      </w:r>
      <w:r w:rsidR="004F14DB">
        <w:t xml:space="preserve"> reiterated </w:t>
      </w:r>
      <w:r w:rsidR="008E2436">
        <w:t>their</w:t>
      </w:r>
      <w:r w:rsidR="004F14DB">
        <w:t xml:space="preserve"> concerns with the expense and feasibility of instrument air installations at remote well pads.</w:t>
      </w:r>
      <w:r w:rsidR="00845E0F">
        <w:t xml:space="preserve">  Particularly, solar is not as reliable </w:t>
      </w:r>
      <w:r w:rsidR="00845E0F">
        <w:lastRenderedPageBreak/>
        <w:t xml:space="preserve">as the Department </w:t>
      </w:r>
      <w:r w:rsidR="002B500D">
        <w:t>assumed</w:t>
      </w:r>
      <w:r w:rsidR="00845E0F">
        <w:t xml:space="preserve"> it to be.</w:t>
      </w:r>
      <w:r w:rsidR="004F14DB">
        <w:t xml:space="preserve">  </w:t>
      </w:r>
      <w:r w:rsidR="004F14DB">
        <w:rPr>
          <w:b/>
          <w:bCs/>
        </w:rPr>
        <w:t>IPANM Ex. 10</w:t>
      </w:r>
      <w:r w:rsidR="004F14DB">
        <w:t xml:space="preserve"> at 17-18 (Davis Rebuttal)</w:t>
      </w:r>
      <w:r w:rsidR="00E21A9C">
        <w:t xml:space="preserve">; </w:t>
      </w:r>
      <w:r w:rsidR="00E21A9C">
        <w:rPr>
          <w:b/>
          <w:bCs/>
        </w:rPr>
        <w:t>NMOGA Ex. 42</w:t>
      </w:r>
      <w:r w:rsidR="00E21A9C">
        <w:t xml:space="preserve"> at 8 (Meyer Rebuttal)</w:t>
      </w:r>
      <w:r w:rsidR="00845E0F">
        <w:t xml:space="preserve">; </w:t>
      </w:r>
      <w:r w:rsidR="00845E0F">
        <w:rPr>
          <w:b/>
          <w:bCs/>
        </w:rPr>
        <w:t xml:space="preserve">GCA Ex. 32 </w:t>
      </w:r>
      <w:r w:rsidR="00845E0F">
        <w:t>at 6 (Davis Rebuttal).</w:t>
      </w:r>
    </w:p>
    <w:p w14:paraId="5C34515A" w14:textId="71CFBEA3" w:rsidR="00E21A9C" w:rsidRDefault="00E21A9C" w:rsidP="002E1272">
      <w:pPr>
        <w:pStyle w:val="ListParagraph"/>
        <w:numPr>
          <w:ilvl w:val="0"/>
          <w:numId w:val="2"/>
        </w:numPr>
        <w:spacing w:line="480" w:lineRule="auto"/>
        <w:ind w:left="0" w:firstLine="720"/>
        <w:jc w:val="both"/>
      </w:pPr>
      <w:r>
        <w:t xml:space="preserve">Oxy’s rebuttal focuses particularly on the difficulty to achieve the stated timelines in the rule.  </w:t>
      </w:r>
      <w:r w:rsidR="00F501FB">
        <w:t>Stating</w:t>
      </w:r>
      <w:r>
        <w:t xml:space="preserve"> that </w:t>
      </w:r>
      <w:r w:rsidR="00F501FB">
        <w:t xml:space="preserve">NMED should instead consider using the previously proposed historic production amounts to determine implementation timelines.  </w:t>
      </w:r>
      <w:r w:rsidR="00F501FB">
        <w:rPr>
          <w:b/>
          <w:bCs/>
        </w:rPr>
        <w:t xml:space="preserve">Oxy Rebuttal Ex. 2 </w:t>
      </w:r>
      <w:r w:rsidR="00F501FB">
        <w:t xml:space="preserve">at 5-6 (Holderman Rebuttal).  </w:t>
      </w:r>
    </w:p>
    <w:p w14:paraId="6E951570" w14:textId="120C4B10" w:rsidR="00F501FB" w:rsidRDefault="00B47F98" w:rsidP="002E1272">
      <w:pPr>
        <w:pStyle w:val="ListParagraph"/>
        <w:numPr>
          <w:ilvl w:val="0"/>
          <w:numId w:val="2"/>
        </w:numPr>
        <w:spacing w:line="480" w:lineRule="auto"/>
        <w:ind w:left="0" w:firstLine="720"/>
        <w:jc w:val="both"/>
      </w:pPr>
      <w:r>
        <w:t xml:space="preserve">GCA advocates strongly in its rebuttal that intermittent pneumatic controllers should be part of the solution for reducing emissions.  </w:t>
      </w:r>
      <w:r>
        <w:rPr>
          <w:b/>
          <w:bCs/>
        </w:rPr>
        <w:t>GCA Ex. 32</w:t>
      </w:r>
      <w:r>
        <w:t xml:space="preserve"> at 8 (Davis Rebuttal). </w:t>
      </w:r>
    </w:p>
    <w:p w14:paraId="7CA86446" w14:textId="182F27A8" w:rsidR="00F0047E" w:rsidRDefault="00F0047E" w:rsidP="002E1272">
      <w:pPr>
        <w:pStyle w:val="ListParagraph"/>
        <w:numPr>
          <w:ilvl w:val="0"/>
          <w:numId w:val="2"/>
        </w:numPr>
        <w:spacing w:line="480" w:lineRule="auto"/>
        <w:ind w:left="0" w:firstLine="720"/>
        <w:jc w:val="both"/>
      </w:pPr>
      <w:r>
        <w:t xml:space="preserve">During the period of rebuttal testimony, CAA on its own came to an agreement with Oxy.  </w:t>
      </w:r>
      <w:r>
        <w:rPr>
          <w:b/>
          <w:bCs/>
        </w:rPr>
        <w:t>CAA Ex. 23</w:t>
      </w:r>
      <w:r>
        <w:t xml:space="preserve"> at 2 (McCabe Rebuttal).</w:t>
      </w:r>
    </w:p>
    <w:p w14:paraId="64111C10" w14:textId="32429025" w:rsidR="00F0047E" w:rsidRDefault="00F0047E" w:rsidP="002E1272">
      <w:pPr>
        <w:pStyle w:val="ListParagraph"/>
        <w:numPr>
          <w:ilvl w:val="0"/>
          <w:numId w:val="2"/>
        </w:numPr>
        <w:spacing w:line="480" w:lineRule="auto"/>
        <w:ind w:left="0" w:firstLine="720"/>
        <w:jc w:val="both"/>
      </w:pPr>
      <w:r>
        <w:t>The Oxy-CAA agreement included support for an accelerated replacement schedule of venting pneumatic controllers at well production facilities</w:t>
      </w:r>
      <w:r w:rsidR="00B42F24">
        <w:t xml:space="preserve">.  </w:t>
      </w:r>
      <w:r w:rsidR="00B42F24">
        <w:rPr>
          <w:b/>
          <w:bCs/>
        </w:rPr>
        <w:t>CAA Ex. 23</w:t>
      </w:r>
      <w:r w:rsidR="00B42F24">
        <w:t xml:space="preserve"> at 2 (McCabe Rebuttal).  Notably, in agreeing to an accelerated replacement schedule, CAA supports the switch to a liquid production metric for retrofit timing.  </w:t>
      </w:r>
      <w:r w:rsidR="00B42F24" w:rsidRPr="005C793C">
        <w:rPr>
          <w:b/>
          <w:bCs/>
          <w:i/>
          <w:iCs/>
        </w:rPr>
        <w:t>Id.</w:t>
      </w:r>
      <w:r w:rsidR="00B42F24">
        <w:t xml:space="preserve"> at 5. </w:t>
      </w:r>
    </w:p>
    <w:p w14:paraId="4F08DC63" w14:textId="59AB502B" w:rsidR="00F36545" w:rsidRDefault="00DF3911" w:rsidP="002E1272">
      <w:pPr>
        <w:pStyle w:val="ListParagraph"/>
        <w:numPr>
          <w:ilvl w:val="0"/>
          <w:numId w:val="2"/>
        </w:numPr>
        <w:spacing w:line="480" w:lineRule="auto"/>
        <w:ind w:left="0" w:firstLine="720"/>
        <w:jc w:val="both"/>
      </w:pPr>
      <w:r>
        <w:t>NMED testified that the basis for the proposed requirements for pneumatics is from Colorado’s Regulation 7 with some slight adjustments.  Tr. Vol. 7, 2022:2-23 (Palmer).</w:t>
      </w:r>
    </w:p>
    <w:p w14:paraId="1C2F64FB" w14:textId="36B4B17C" w:rsidR="00D2604B" w:rsidRDefault="00D2604B" w:rsidP="002E1272">
      <w:pPr>
        <w:pStyle w:val="ListParagraph"/>
        <w:numPr>
          <w:ilvl w:val="0"/>
          <w:numId w:val="2"/>
        </w:numPr>
        <w:spacing w:line="480" w:lineRule="auto"/>
        <w:ind w:left="0" w:firstLine="720"/>
        <w:jc w:val="both"/>
      </w:pPr>
      <w:r>
        <w:t>NMED testified that the proposed regulation allows for similar flexibility as Colorado</w:t>
      </w:r>
      <w:r w:rsidR="002B500D">
        <w:t>,</w:t>
      </w:r>
      <w:r>
        <w:t xml:space="preserve"> where operators </w:t>
      </w:r>
      <w:r w:rsidR="002B500D">
        <w:t>can</w:t>
      </w:r>
      <w:r>
        <w:t xml:space="preserve"> prioritize high-producing production facilities.  There is also a built in “off-ramp” for owners meeting a 75% target for nonemitting controllers by January 1, 2025.  If after January 1, 2027, there are still units that are not cost-effective to replace, an owner can submit an analysis to NMED on the retrofit costs.  Tr. Vol. 7, 2022:24-2023:13 (Palmer).</w:t>
      </w:r>
    </w:p>
    <w:p w14:paraId="7DA4DC45" w14:textId="3EC19DF5" w:rsidR="00523A11" w:rsidRDefault="00523A11" w:rsidP="002E1272">
      <w:pPr>
        <w:pStyle w:val="ListParagraph"/>
        <w:numPr>
          <w:ilvl w:val="0"/>
          <w:numId w:val="2"/>
        </w:numPr>
        <w:spacing w:line="480" w:lineRule="auto"/>
        <w:ind w:left="0" w:firstLine="720"/>
        <w:jc w:val="both"/>
      </w:pPr>
      <w:r>
        <w:lastRenderedPageBreak/>
        <w:t>NMED testified that much of the testimony from certain parties proposed a regulatory approach to pneumatic controllers that was adopted in Colorado</w:t>
      </w:r>
      <w:r w:rsidR="008E2436">
        <w:t>;</w:t>
      </w:r>
      <w:r>
        <w:t xml:space="preserve"> however</w:t>
      </w:r>
      <w:r w:rsidR="008E2436">
        <w:t>,</w:t>
      </w:r>
      <w:r>
        <w:t xml:space="preserve"> NMED </w:t>
      </w:r>
      <w:r w:rsidR="007F6BE3">
        <w:t>explained that</w:t>
      </w:r>
      <w:r>
        <w:t xml:space="preserve"> this </w:t>
      </w:r>
      <w:r w:rsidR="007F6BE3">
        <w:t>was</w:t>
      </w:r>
      <w:r w:rsidR="0024466F">
        <w:t xml:space="preserve"> </w:t>
      </w:r>
      <w:r>
        <w:t>inappropriate for New Mexico.  Tr. Vol. 7, 2025:14-25 (Bisbey-Kuehn).</w:t>
      </w:r>
    </w:p>
    <w:p w14:paraId="37D031D2" w14:textId="7FBD36A8" w:rsidR="00CD4985" w:rsidRDefault="00CD4985" w:rsidP="002E1272">
      <w:pPr>
        <w:pStyle w:val="ListParagraph"/>
        <w:numPr>
          <w:ilvl w:val="0"/>
          <w:numId w:val="2"/>
        </w:numPr>
        <w:spacing w:line="480" w:lineRule="auto"/>
        <w:ind w:left="0" w:firstLine="720"/>
        <w:jc w:val="both"/>
      </w:pPr>
      <w:r>
        <w:t xml:space="preserve">Particularly, NMED testified that Colorado already had </w:t>
      </w:r>
      <w:r w:rsidR="00FF5790">
        <w:t>requirements</w:t>
      </w:r>
      <w:r>
        <w:t xml:space="preserve"> in place for pneumatic controllers that has already achieved significant emission reductions whereas New Mexico has no such system in place and is thus starting in a different position.  Tr. Vol. 7, 2026:12-2027:</w:t>
      </w:r>
      <w:r w:rsidR="00AE3713">
        <w:t>15 (Bisbey-Kuehn).</w:t>
      </w:r>
    </w:p>
    <w:p w14:paraId="694CA966" w14:textId="0FB59E18" w:rsidR="00AB33C7" w:rsidRDefault="00AB33C7" w:rsidP="002E1272">
      <w:pPr>
        <w:pStyle w:val="ListParagraph"/>
        <w:numPr>
          <w:ilvl w:val="0"/>
          <w:numId w:val="2"/>
        </w:numPr>
        <w:spacing w:line="480" w:lineRule="auto"/>
        <w:ind w:left="0" w:firstLine="720"/>
        <w:jc w:val="both"/>
      </w:pPr>
      <w:r>
        <w:t>NMED provided clarification that January 1, 2023</w:t>
      </w:r>
      <w:r w:rsidR="00462091">
        <w:t>,</w:t>
      </w:r>
      <w:r>
        <w:t xml:space="preserve"> would be the date that </w:t>
      </w:r>
      <w:r w:rsidR="004C2024">
        <w:t>some</w:t>
      </w:r>
      <w:r>
        <w:t xml:space="preserve"> of the requirements would need to be met </w:t>
      </w:r>
      <w:r w:rsidR="00FF5790">
        <w:t>for</w:t>
      </w:r>
      <w:r w:rsidR="00C40E0B">
        <w:t xml:space="preserve"> creating a controller count list.  Tr. Vol. 7, 2042:8-11 (Bisbey-Kuehn).</w:t>
      </w:r>
    </w:p>
    <w:p w14:paraId="7A2066B2" w14:textId="14DFBD3C" w:rsidR="009A62F9" w:rsidRDefault="0029338D" w:rsidP="002E1272">
      <w:pPr>
        <w:pStyle w:val="ListParagraph"/>
        <w:numPr>
          <w:ilvl w:val="0"/>
          <w:numId w:val="2"/>
        </w:numPr>
        <w:spacing w:line="480" w:lineRule="auto"/>
        <w:ind w:left="0" w:firstLine="720"/>
        <w:jc w:val="both"/>
      </w:pPr>
      <w:r>
        <w:t xml:space="preserve">CAA testified at the hearing about a joint proposal between CAA, EDF, CCP, NAVA and Oxy that was also supported by </w:t>
      </w:r>
      <w:r w:rsidR="0024466F">
        <w:t>NPS</w:t>
      </w:r>
      <w:r>
        <w:t>.  Tr. Vol. 7, 2057:16-22 (McCabe).</w:t>
      </w:r>
    </w:p>
    <w:p w14:paraId="50571A25" w14:textId="40DE9DCA" w:rsidR="00D3207F" w:rsidRDefault="00D3207F" w:rsidP="002E1272">
      <w:pPr>
        <w:pStyle w:val="ListParagraph"/>
        <w:numPr>
          <w:ilvl w:val="0"/>
          <w:numId w:val="2"/>
        </w:numPr>
        <w:spacing w:line="480" w:lineRule="auto"/>
        <w:ind w:left="0" w:firstLine="720"/>
        <w:jc w:val="both"/>
      </w:pPr>
      <w:r>
        <w:t xml:space="preserve">CAA explained that the Colorado rule, </w:t>
      </w:r>
      <w:r w:rsidR="00481013">
        <w:t>which</w:t>
      </w:r>
      <w:r>
        <w:t xml:space="preserve"> was adopted with unanimous industry support, is a much faster approach than New Mexico’s.  Tr. Vol. 7, 2066:18-23 (McCabe).</w:t>
      </w:r>
    </w:p>
    <w:p w14:paraId="03524042" w14:textId="21BC34D1" w:rsidR="0049782F" w:rsidRDefault="0049782F" w:rsidP="002E1272">
      <w:pPr>
        <w:pStyle w:val="ListParagraph"/>
        <w:numPr>
          <w:ilvl w:val="0"/>
          <w:numId w:val="2"/>
        </w:numPr>
        <w:spacing w:line="480" w:lineRule="auto"/>
        <w:ind w:left="0" w:firstLine="720"/>
        <w:jc w:val="both"/>
      </w:pPr>
      <w:r>
        <w:t xml:space="preserve">CAA, EDF, CCP, NAVA and Oxy </w:t>
      </w:r>
      <w:r w:rsidR="00FF5790">
        <w:t xml:space="preserve">explained that their joint proposal </w:t>
      </w:r>
      <w:r>
        <w:t>would result in a more rapid transition to zero emission controllers and would also ensure that the phase-out occurs in a more efficient and fair way.  Tr. Vol. 7, 2068:20-25 (McCabe).</w:t>
      </w:r>
    </w:p>
    <w:p w14:paraId="5E913214" w14:textId="18E58A86" w:rsidR="007F2275" w:rsidRDefault="007F2275" w:rsidP="002E1272">
      <w:pPr>
        <w:pStyle w:val="ListParagraph"/>
        <w:numPr>
          <w:ilvl w:val="0"/>
          <w:numId w:val="2"/>
        </w:numPr>
        <w:spacing w:line="480" w:lineRule="auto"/>
        <w:ind w:left="0" w:firstLine="720"/>
        <w:jc w:val="both"/>
      </w:pPr>
      <w:r>
        <w:t xml:space="preserve">CAA emphasized that the joint proposal is based </w:t>
      </w:r>
      <w:r w:rsidR="002B500D">
        <w:t xml:space="preserve">on </w:t>
      </w:r>
      <w:r>
        <w:t>liquids produced rather than controller counts.  Tr. Vol. 7, 2069:11-13 (McCabe).</w:t>
      </w:r>
    </w:p>
    <w:p w14:paraId="52D3044A" w14:textId="7991B091" w:rsidR="00301602" w:rsidRDefault="00301602" w:rsidP="002E1272">
      <w:pPr>
        <w:pStyle w:val="ListParagraph"/>
        <w:numPr>
          <w:ilvl w:val="0"/>
          <w:numId w:val="2"/>
        </w:numPr>
        <w:spacing w:line="480" w:lineRule="auto"/>
        <w:ind w:left="0" w:firstLine="720"/>
        <w:jc w:val="both"/>
      </w:pPr>
      <w:r>
        <w:t>NMOGA testified that it accept</w:t>
      </w:r>
      <w:r w:rsidR="007F6BE3">
        <w:t>ed</w:t>
      </w:r>
      <w:r>
        <w:t xml:space="preserve"> the </w:t>
      </w:r>
      <w:r w:rsidR="007F6BE3">
        <w:t>NMED’s</w:t>
      </w:r>
      <w:r>
        <w:t xml:space="preserve"> pneumatics proposal because it balances the needs of emissions reductions with the realities of the oil and gas business in New Mexico.  Tr. Vol. 7, 2109:5-13 (Smitherman).</w:t>
      </w:r>
    </w:p>
    <w:p w14:paraId="25A0B4C5" w14:textId="4D09B990" w:rsidR="0074644E" w:rsidRDefault="0074644E" w:rsidP="002E1272">
      <w:pPr>
        <w:pStyle w:val="ListParagraph"/>
        <w:numPr>
          <w:ilvl w:val="0"/>
          <w:numId w:val="2"/>
        </w:numPr>
        <w:spacing w:line="480" w:lineRule="auto"/>
        <w:ind w:left="0" w:firstLine="720"/>
        <w:jc w:val="both"/>
      </w:pPr>
      <w:r>
        <w:lastRenderedPageBreak/>
        <w:t>IPANM testified that a production phase-out approach</w:t>
      </w:r>
      <w:r w:rsidR="00FF5790">
        <w:t>,</w:t>
      </w:r>
      <w:r>
        <w:t xml:space="preserve"> rather than a controller count approach</w:t>
      </w:r>
      <w:r w:rsidR="00FF5790">
        <w:t>,</w:t>
      </w:r>
      <w:r>
        <w:t xml:space="preserve"> </w:t>
      </w:r>
      <w:r w:rsidR="002B500D">
        <w:t>is an</w:t>
      </w:r>
      <w:r>
        <w:t xml:space="preserve"> appropriate path forward.  Tr. Vol. 7, 2189:1-4 (Davis).</w:t>
      </w:r>
    </w:p>
    <w:p w14:paraId="20554672" w14:textId="37978C81" w:rsidR="0074644E" w:rsidRDefault="0074644E" w:rsidP="002E1272">
      <w:pPr>
        <w:pStyle w:val="ListParagraph"/>
        <w:numPr>
          <w:ilvl w:val="0"/>
          <w:numId w:val="2"/>
        </w:numPr>
        <w:spacing w:line="480" w:lineRule="auto"/>
        <w:ind w:left="0" w:firstLine="720"/>
        <w:jc w:val="both"/>
      </w:pPr>
      <w:r>
        <w:t xml:space="preserve">IPANM also testified that the Colorado Regulation has flexibility for small producers </w:t>
      </w:r>
      <w:r w:rsidR="007F6BE3">
        <w:t>that</w:t>
      </w:r>
      <w:r>
        <w:t xml:space="preserve"> IPANM </w:t>
      </w:r>
      <w:r w:rsidR="007F6BE3">
        <w:t>felt was</w:t>
      </w:r>
      <w:r>
        <w:t xml:space="preserve"> critical to be in the </w:t>
      </w:r>
      <w:r w:rsidR="00723AC7">
        <w:t>Ozone Rule</w:t>
      </w:r>
      <w:r>
        <w:t xml:space="preserve"> for smaller producers and lower-producing wells.  Tr. Vol. 7, 2189:4-13 (Davis). </w:t>
      </w:r>
    </w:p>
    <w:p w14:paraId="44393FC5" w14:textId="1963E466" w:rsidR="0074644E" w:rsidRDefault="0074644E" w:rsidP="002E1272">
      <w:pPr>
        <w:pStyle w:val="ListParagraph"/>
        <w:numPr>
          <w:ilvl w:val="0"/>
          <w:numId w:val="2"/>
        </w:numPr>
        <w:spacing w:line="480" w:lineRule="auto"/>
        <w:ind w:left="0" w:firstLine="720"/>
        <w:jc w:val="both"/>
      </w:pPr>
      <w:r>
        <w:t>IPANM discussed the importan</w:t>
      </w:r>
      <w:r w:rsidR="001564AF">
        <w:t>ce</w:t>
      </w:r>
      <w:r>
        <w:t xml:space="preserve"> of also using intermittent controllers </w:t>
      </w:r>
      <w:r w:rsidR="008E2436">
        <w:t xml:space="preserve">that </w:t>
      </w:r>
      <w:r>
        <w:t xml:space="preserve">do not continuously bleed natural gas during normal </w:t>
      </w:r>
      <w:proofErr w:type="gramStart"/>
      <w:r>
        <w:t>operations, but</w:t>
      </w:r>
      <w:proofErr w:type="gramEnd"/>
      <w:r>
        <w:t xml:space="preserve"> bleeds back the actuation gas after the actuation has taken place.  Tr. Vol. 7, 2189:14-25 (Davis). </w:t>
      </w:r>
    </w:p>
    <w:p w14:paraId="5800A04B" w14:textId="0FFC34E5" w:rsidR="00A55CDF" w:rsidRDefault="00A55CDF" w:rsidP="002E1272">
      <w:pPr>
        <w:pStyle w:val="ListParagraph"/>
        <w:numPr>
          <w:ilvl w:val="0"/>
          <w:numId w:val="2"/>
        </w:numPr>
        <w:spacing w:line="480" w:lineRule="auto"/>
        <w:ind w:left="0" w:firstLine="720"/>
        <w:jc w:val="both"/>
      </w:pPr>
      <w:r>
        <w:t xml:space="preserve">IPANM also highlighted how much work </w:t>
      </w:r>
      <w:r w:rsidR="008E2436">
        <w:t xml:space="preserve">is devoted </w:t>
      </w:r>
      <w:r>
        <w:t xml:space="preserve">to instrument air installations.  Such an installation usually requires design and packaging of the air package, delivery, trenching in air lines and power, and determining necessary setbacks from other equipment.  Tr. Vol. 7, 2191:19-2192:3 (Davis). </w:t>
      </w:r>
    </w:p>
    <w:p w14:paraId="7CB68BA3" w14:textId="0920A926" w:rsidR="00887D4D" w:rsidRDefault="00887D4D" w:rsidP="002E1272">
      <w:pPr>
        <w:pStyle w:val="ListParagraph"/>
        <w:numPr>
          <w:ilvl w:val="0"/>
          <w:numId w:val="2"/>
        </w:numPr>
        <w:spacing w:line="480" w:lineRule="auto"/>
        <w:ind w:left="0" w:firstLine="720"/>
        <w:jc w:val="both"/>
      </w:pPr>
      <w:r>
        <w:t xml:space="preserve">IPANM reiterated its concerns </w:t>
      </w:r>
      <w:r w:rsidR="00FF5790">
        <w:t>about</w:t>
      </w:r>
      <w:r>
        <w:t xml:space="preserve"> getting commercial line power to </w:t>
      </w:r>
      <w:r w:rsidR="004C2024">
        <w:t>many</w:t>
      </w:r>
      <w:r>
        <w:t xml:space="preserve"> of its remote sites.  </w:t>
      </w:r>
      <w:r w:rsidR="007F6BE3">
        <w:t>Significant areas in Northwest New Mexico lacked reasonably accessible commercial line power</w:t>
      </w:r>
      <w:r w:rsidR="00E03219">
        <w:t xml:space="preserve">.  </w:t>
      </w:r>
      <w:r>
        <w:t>There are significant concerns with lines, rights o</w:t>
      </w:r>
      <w:r w:rsidR="001564AF">
        <w:t>f</w:t>
      </w:r>
      <w:r>
        <w:t xml:space="preserve"> way and infrastructure in general to be able to have line power on a site.  Tr. Vol. 7, 2192:4-2193:13 (Davis). </w:t>
      </w:r>
    </w:p>
    <w:p w14:paraId="20CFB43C" w14:textId="5268FD90" w:rsidR="00CE0E56" w:rsidRDefault="00CE0E56" w:rsidP="002E1272">
      <w:pPr>
        <w:pStyle w:val="ListParagraph"/>
        <w:numPr>
          <w:ilvl w:val="0"/>
          <w:numId w:val="2"/>
        </w:numPr>
        <w:spacing w:line="480" w:lineRule="auto"/>
        <w:ind w:left="0" w:firstLine="720"/>
        <w:jc w:val="both"/>
      </w:pPr>
      <w:r>
        <w:t xml:space="preserve">IPANM’s </w:t>
      </w:r>
      <w:r w:rsidR="00E03219">
        <w:t>major</w:t>
      </w:r>
      <w:r>
        <w:t xml:space="preserve"> concern with this part of the </w:t>
      </w:r>
      <w:r w:rsidR="00723AC7">
        <w:t>Ozone Rule</w:t>
      </w:r>
      <w:r>
        <w:t xml:space="preserve"> surrounds fairness to smaller producers and not forcing them through the regulation to close or shut-in their wells earlier than anticipated.  Tr. Vol. 7, 2199:2-2200:8 (Davis)</w:t>
      </w:r>
      <w:r w:rsidR="001C301C">
        <w:t>; Tr. Vol 7, 2201-24-2202:6 (Davis).</w:t>
      </w:r>
    </w:p>
    <w:p w14:paraId="3EDDB58C" w14:textId="6B321F56" w:rsidR="00996282" w:rsidRDefault="00996282" w:rsidP="002E1272">
      <w:pPr>
        <w:pStyle w:val="ListParagraph"/>
        <w:numPr>
          <w:ilvl w:val="0"/>
          <w:numId w:val="2"/>
        </w:numPr>
        <w:spacing w:line="480" w:lineRule="auto"/>
        <w:ind w:left="0" w:firstLine="720"/>
        <w:jc w:val="both"/>
      </w:pPr>
      <w:r>
        <w:t>Oxy also testified to the difficulties of getting line power out to certain areas of the state as being potentially cost-prohibitive when trying to transition to non-emitting pneumatic controllers.  Tr. Vol. 7, 2212:9-23 (Holderman).</w:t>
      </w:r>
    </w:p>
    <w:p w14:paraId="7CE903C0" w14:textId="718002D6" w:rsidR="008E562B" w:rsidRDefault="008E562B" w:rsidP="002E1272">
      <w:pPr>
        <w:pStyle w:val="ListParagraph"/>
        <w:numPr>
          <w:ilvl w:val="0"/>
          <w:numId w:val="2"/>
        </w:numPr>
        <w:spacing w:line="480" w:lineRule="auto"/>
        <w:ind w:left="0" w:firstLine="720"/>
        <w:jc w:val="both"/>
      </w:pPr>
      <w:r>
        <w:lastRenderedPageBreak/>
        <w:t xml:space="preserve">Kinder Morgan testified that it </w:t>
      </w:r>
      <w:r w:rsidR="00FF5790">
        <w:t>supported</w:t>
      </w:r>
      <w:r>
        <w:t xml:space="preserve"> NMED’s proposed </w:t>
      </w:r>
      <w:r w:rsidR="00723AC7">
        <w:t>Ozone Rule</w:t>
      </w:r>
      <w:r>
        <w:t xml:space="preserve"> as described in NMED’s earlier testimony.  Tr. Vol. 7, 2282:1-7 (Nolting).</w:t>
      </w:r>
    </w:p>
    <w:p w14:paraId="1C3175E4" w14:textId="29DA39F4" w:rsidR="00E80194" w:rsidRDefault="00E80194" w:rsidP="002E1272">
      <w:pPr>
        <w:pStyle w:val="ListParagraph"/>
        <w:numPr>
          <w:ilvl w:val="0"/>
          <w:numId w:val="2"/>
        </w:numPr>
        <w:spacing w:line="480" w:lineRule="auto"/>
        <w:ind w:left="0" w:firstLine="720"/>
        <w:jc w:val="both"/>
      </w:pPr>
      <w:r>
        <w:t xml:space="preserve">EDF proposed a shorter </w:t>
      </w:r>
      <w:r w:rsidR="00B44B66">
        <w:t>timeframe</w:t>
      </w:r>
      <w:r>
        <w:t xml:space="preserve"> for transitioning to non-emitting pneumatic controllers.  EDF believes its proposal is both economically reasonable and practical.  Tr. Vol. 10, 3226:6-18 (Alexander)</w:t>
      </w:r>
      <w:r w:rsidR="001564AF">
        <w:t>.</w:t>
      </w:r>
    </w:p>
    <w:p w14:paraId="16781957" w14:textId="554B6F3A" w:rsidR="0003040C" w:rsidRDefault="0003040C" w:rsidP="002E1272">
      <w:pPr>
        <w:pStyle w:val="ListParagraph"/>
        <w:numPr>
          <w:ilvl w:val="0"/>
          <w:numId w:val="2"/>
        </w:numPr>
        <w:spacing w:line="480" w:lineRule="auto"/>
        <w:ind w:left="0" w:firstLine="720"/>
        <w:jc w:val="both"/>
      </w:pPr>
      <w:r>
        <w:t xml:space="preserve">NMED rebutted the joint proposal from Oxy </w:t>
      </w:r>
      <w:proofErr w:type="gramStart"/>
      <w:r>
        <w:t>and  NGO’s</w:t>
      </w:r>
      <w:proofErr w:type="gramEnd"/>
      <w:r>
        <w:t xml:space="preserve"> by stating it is still inappropriate for New Mexico because </w:t>
      </w:r>
      <w:r w:rsidR="00E03219">
        <w:t>NMED</w:t>
      </w:r>
      <w:r>
        <w:t xml:space="preserve"> </w:t>
      </w:r>
      <w:r w:rsidR="001614D5">
        <w:t>did</w:t>
      </w:r>
      <w:r>
        <w:t xml:space="preserve"> not have a </w:t>
      </w:r>
      <w:r w:rsidR="00BB5DBE">
        <w:t xml:space="preserve">current </w:t>
      </w:r>
      <w:r>
        <w:t xml:space="preserve">methodology to determine the total historic percentage of liquids produced.  Tr. Vol. 7, </w:t>
      </w:r>
      <w:r w:rsidR="00A8703E">
        <w:t>2239:12-23 (Bisbey-Kuehn).</w:t>
      </w:r>
    </w:p>
    <w:p w14:paraId="5AD16AD7" w14:textId="6D9555B9" w:rsidR="00A8703E" w:rsidRDefault="00A8703E" w:rsidP="002E1272">
      <w:pPr>
        <w:pStyle w:val="ListParagraph"/>
        <w:numPr>
          <w:ilvl w:val="0"/>
          <w:numId w:val="2"/>
        </w:numPr>
        <w:spacing w:line="480" w:lineRule="auto"/>
        <w:ind w:left="0" w:firstLine="720"/>
        <w:jc w:val="both"/>
      </w:pPr>
      <w:r>
        <w:t>NMED responded to IPANM’s proposal that NMED include an exception for lower producing wells by saying that it would exempt 269 out of 324 well operators who have oil production.  Tr. Vol. 7, 2243:5-2 (Palmer).</w:t>
      </w:r>
    </w:p>
    <w:p w14:paraId="4CEDE360" w14:textId="7E2EDF80" w:rsidR="00F90E29" w:rsidRDefault="00F90E29" w:rsidP="002E1272">
      <w:pPr>
        <w:pStyle w:val="ListParagraph"/>
        <w:numPr>
          <w:ilvl w:val="0"/>
          <w:numId w:val="2"/>
        </w:numPr>
        <w:spacing w:line="480" w:lineRule="auto"/>
        <w:ind w:left="0" w:firstLine="720"/>
        <w:jc w:val="both"/>
      </w:pPr>
      <w:r>
        <w:t xml:space="preserve">EDF testified about three studies it </w:t>
      </w:r>
      <w:r w:rsidR="00BB5DBE">
        <w:t xml:space="preserve">considered </w:t>
      </w:r>
      <w:r>
        <w:t>to support the requirements surrounding pneumatic controllers and how the best way to reduce emissions from pneumatic controllers is to replace them with zero emitting devices.  Tr. Vol. 7, 2224:18-24 (Lyon).</w:t>
      </w:r>
    </w:p>
    <w:p w14:paraId="47E9ED81" w14:textId="4505D67E" w:rsidR="00761EF1" w:rsidRDefault="00761EF1" w:rsidP="00392EB0">
      <w:pPr>
        <w:pStyle w:val="ListParagraph"/>
        <w:numPr>
          <w:ilvl w:val="0"/>
          <w:numId w:val="2"/>
        </w:numPr>
        <w:spacing w:after="0" w:line="480" w:lineRule="auto"/>
        <w:ind w:left="0" w:firstLine="720"/>
        <w:jc w:val="both"/>
      </w:pPr>
      <w:r>
        <w:t xml:space="preserve">The </w:t>
      </w:r>
      <w:r w:rsidR="00A62BD1">
        <w:t>Board</w:t>
      </w:r>
      <w:r>
        <w:t xml:space="preserve"> finds that </w:t>
      </w:r>
      <w:r w:rsidR="0065354F">
        <w:t>NMED’s</w:t>
      </w:r>
      <w:r>
        <w:t xml:space="preserve"> </w:t>
      </w:r>
      <w:r w:rsidR="00F67337">
        <w:t xml:space="preserve">September </w:t>
      </w:r>
      <w:r w:rsidR="001564AF">
        <w:t>16</w:t>
      </w:r>
      <w:r>
        <w:t>, 2021, version of the rule for 20.2.50.1</w:t>
      </w:r>
      <w:r w:rsidR="004B7847">
        <w:t>22</w:t>
      </w:r>
      <w:r>
        <w:t xml:space="preserve"> </w:t>
      </w:r>
      <w:r w:rsidR="004B7847">
        <w:t xml:space="preserve">is not appropriate and finds that the IPANM’s production-based approach in the Proposed </w:t>
      </w:r>
      <w:r w:rsidR="0065354F">
        <w:t xml:space="preserve">Final </w:t>
      </w:r>
      <w:r w:rsidR="004B7847">
        <w:t xml:space="preserve">20.2.122 NMAC is </w:t>
      </w:r>
      <w:r w:rsidR="00B24B1D">
        <w:t>appropriate</w:t>
      </w:r>
      <w:r w:rsidR="0065354F">
        <w:t>.</w:t>
      </w:r>
    </w:p>
    <w:p w14:paraId="042DE342" w14:textId="08D88EA3" w:rsidR="00A713CF" w:rsidRDefault="00A713CF" w:rsidP="00A713CF">
      <w:pPr>
        <w:pStyle w:val="Heading2"/>
      </w:pPr>
      <w:bookmarkStart w:id="19" w:name="_Toc93581897"/>
      <w:r>
        <w:t xml:space="preserve">20.2.50.124 </w:t>
      </w:r>
      <w:r w:rsidR="001614D5">
        <w:t xml:space="preserve">NMAC </w:t>
      </w:r>
      <w:r>
        <w:t>Well Workovers</w:t>
      </w:r>
      <w:bookmarkEnd w:id="19"/>
    </w:p>
    <w:p w14:paraId="309D6689" w14:textId="4F3E0E34" w:rsidR="00A713CF" w:rsidRDefault="00A30B09" w:rsidP="00DD1C02">
      <w:pPr>
        <w:pStyle w:val="ListParagraph"/>
        <w:numPr>
          <w:ilvl w:val="0"/>
          <w:numId w:val="2"/>
        </w:numPr>
        <w:spacing w:line="480" w:lineRule="auto"/>
        <w:ind w:left="0" w:firstLine="720"/>
        <w:jc w:val="both"/>
      </w:pPr>
      <w:r>
        <w:t>NMED p</w:t>
      </w:r>
      <w:r w:rsidR="00E03219">
        <w:t xml:space="preserve">roposed </w:t>
      </w:r>
      <w:r w:rsidR="00A713CF">
        <w:t xml:space="preserve">20.2.50.124 </w:t>
      </w:r>
      <w:r w:rsidR="00E03219">
        <w:t xml:space="preserve">NMAC </w:t>
      </w:r>
      <w:r>
        <w:t>specifies requirements for</w:t>
      </w:r>
      <w:r w:rsidR="00A713CF">
        <w:t xml:space="preserve"> workovers performed at oil and natural gas wells.  </w:t>
      </w:r>
      <w:r w:rsidR="00A713CF">
        <w:rPr>
          <w:b/>
          <w:bCs/>
        </w:rPr>
        <w:t>NMED Ex. 32</w:t>
      </w:r>
      <w:r w:rsidR="00A713CF">
        <w:t xml:space="preserve"> at 148 (</w:t>
      </w:r>
      <w:r w:rsidR="00160057">
        <w:t>Bisbey-Kuehn</w:t>
      </w:r>
      <w:r w:rsidR="00A713CF">
        <w:t>/Palmer Direct).</w:t>
      </w:r>
    </w:p>
    <w:p w14:paraId="1AB3C85F" w14:textId="24DE8F21" w:rsidR="001B14C6" w:rsidRDefault="001B14C6" w:rsidP="00DD1C02">
      <w:pPr>
        <w:pStyle w:val="ListParagraph"/>
        <w:numPr>
          <w:ilvl w:val="0"/>
          <w:numId w:val="2"/>
        </w:numPr>
        <w:spacing w:line="480" w:lineRule="auto"/>
        <w:ind w:left="0" w:firstLine="720"/>
        <w:jc w:val="both"/>
      </w:pPr>
      <w:r>
        <w:t xml:space="preserve">A well workover is a supplementary maintenance activity that is required for some wells to maintain production or minimize production declines.  </w:t>
      </w:r>
      <w:r>
        <w:rPr>
          <w:b/>
          <w:bCs/>
        </w:rPr>
        <w:t>NMED Ex. 32</w:t>
      </w:r>
      <w:r>
        <w:t xml:space="preserve"> at 148-49 (Bisbey-</w:t>
      </w:r>
      <w:r>
        <w:lastRenderedPageBreak/>
        <w:t xml:space="preserve">Kuehn/Palmer Direct).  “Typical workovers include rod, tubing and casing repairs; siphon string or artificial lift installation paraffin removal; and pump repairs.”  </w:t>
      </w:r>
      <w:r>
        <w:rPr>
          <w:b/>
          <w:bCs/>
          <w:i/>
          <w:iCs/>
        </w:rPr>
        <w:t>Id.</w:t>
      </w:r>
      <w:r>
        <w:rPr>
          <w:b/>
          <w:bCs/>
        </w:rPr>
        <w:t xml:space="preserve"> </w:t>
      </w:r>
    </w:p>
    <w:p w14:paraId="59366FFD" w14:textId="6251B369" w:rsidR="00A713CF" w:rsidRDefault="00A713CF" w:rsidP="00DD1C02">
      <w:pPr>
        <w:pStyle w:val="ListParagraph"/>
        <w:numPr>
          <w:ilvl w:val="0"/>
          <w:numId w:val="2"/>
        </w:numPr>
        <w:spacing w:line="480" w:lineRule="auto"/>
        <w:ind w:left="0" w:firstLine="720"/>
        <w:jc w:val="both"/>
      </w:pPr>
      <w:r>
        <w:t xml:space="preserve">Workovers are performed on wells that have previously been completed.  The wells need to be prepared before workover operations can begin.  </w:t>
      </w:r>
      <w:r w:rsidR="00CE6922">
        <w:t xml:space="preserve">Preparation includes venting pressure before it is safe to remove tubing head and installing blowout preventers.  </w:t>
      </w:r>
      <w:r w:rsidR="00CE6922">
        <w:rPr>
          <w:b/>
          <w:bCs/>
        </w:rPr>
        <w:t xml:space="preserve">NMED Ex. </w:t>
      </w:r>
      <w:r w:rsidR="00CE6922" w:rsidRPr="00CE6922">
        <w:rPr>
          <w:b/>
          <w:bCs/>
        </w:rPr>
        <w:t>32</w:t>
      </w:r>
      <w:r w:rsidR="00CE6922">
        <w:t xml:space="preserve"> at 149 (Bisbey-Kuehn/Palmer Direct).  </w:t>
      </w:r>
      <w:r w:rsidRPr="00CE6922">
        <w:t>A</w:t>
      </w:r>
      <w:r>
        <w:t xml:space="preserve"> workover is usually a short duration project that lasts only a few days or weeks at most.  </w:t>
      </w:r>
      <w:r w:rsidR="00CE6922">
        <w:rPr>
          <w:b/>
          <w:bCs/>
          <w:i/>
          <w:iCs/>
        </w:rPr>
        <w:t>Id.</w:t>
      </w:r>
      <w:r w:rsidR="00CE6922">
        <w:rPr>
          <w:b/>
          <w:bCs/>
        </w:rPr>
        <w:t xml:space="preserve"> </w:t>
      </w:r>
    </w:p>
    <w:p w14:paraId="678A70FB" w14:textId="7BEBC44B" w:rsidR="00A713CF" w:rsidRDefault="00A713CF" w:rsidP="00DD1C02">
      <w:pPr>
        <w:pStyle w:val="ListParagraph"/>
        <w:numPr>
          <w:ilvl w:val="0"/>
          <w:numId w:val="2"/>
        </w:numPr>
        <w:spacing w:line="480" w:lineRule="auto"/>
        <w:ind w:left="0" w:firstLine="720"/>
        <w:jc w:val="both"/>
      </w:pPr>
      <w:r>
        <w:t xml:space="preserve">During the workover, the well is allowed to vent to the atmosphere </w:t>
      </w:r>
      <w:r w:rsidR="004C2024">
        <w:t>to</w:t>
      </w:r>
      <w:r>
        <w:t xml:space="preserve"> provide for the safety of the rig crew.  </w:t>
      </w:r>
      <w:r>
        <w:rPr>
          <w:b/>
          <w:bCs/>
        </w:rPr>
        <w:t xml:space="preserve">NMED Ex. 32 </w:t>
      </w:r>
      <w:r>
        <w:t>at 149 (</w:t>
      </w:r>
      <w:r w:rsidR="00160057">
        <w:t>Bisbey-Kuehn</w:t>
      </w:r>
      <w:r>
        <w:t>/Palmer Direct)</w:t>
      </w:r>
      <w:r w:rsidR="009704CA">
        <w:t>; Tr. Vol. 9, 3098:15-20 (</w:t>
      </w:r>
      <w:r w:rsidR="005F6D4C">
        <w:t>Bisbey-</w:t>
      </w:r>
      <w:r w:rsidR="009704CA">
        <w:t>Kuehn)</w:t>
      </w:r>
      <w:r w:rsidR="001564AF">
        <w:t>.</w:t>
      </w:r>
      <w:r>
        <w:t xml:space="preserve"> </w:t>
      </w:r>
    </w:p>
    <w:p w14:paraId="24816E97" w14:textId="54D57F30" w:rsidR="00481153" w:rsidRDefault="00481153" w:rsidP="00DD1C02">
      <w:pPr>
        <w:pStyle w:val="ListParagraph"/>
        <w:numPr>
          <w:ilvl w:val="0"/>
          <w:numId w:val="2"/>
        </w:numPr>
        <w:spacing w:line="480" w:lineRule="auto"/>
        <w:ind w:left="0" w:firstLine="720"/>
        <w:jc w:val="both"/>
      </w:pPr>
      <w:r>
        <w:t xml:space="preserve">NMED </w:t>
      </w:r>
      <w:r w:rsidR="00E03219">
        <w:t>proposed</w:t>
      </w:r>
      <w:r>
        <w:t xml:space="preserve"> to reduce emissions during a well workover</w:t>
      </w:r>
      <w:r w:rsidR="009704CA">
        <w:t xml:space="preserve"> through the </w:t>
      </w:r>
      <w:r w:rsidR="00A30B09">
        <w:t xml:space="preserve">implementation of </w:t>
      </w:r>
      <w:r>
        <w:t>best practices</w:t>
      </w:r>
      <w:r w:rsidR="00A30B09">
        <w:t>,</w:t>
      </w:r>
      <w:r>
        <w:t xml:space="preserve"> </w:t>
      </w:r>
      <w:r w:rsidR="00A30B09">
        <w:t>including</w:t>
      </w:r>
      <w:r w:rsidR="00BB5DBE">
        <w:t xml:space="preserve"> the following</w:t>
      </w:r>
      <w:r>
        <w:t xml:space="preserve">: reducing wellhead pressure before blowdown to minimize the volume of natural gas vented; monitoring manual venting at the well until the venting is complete; and routing natural gas to the sales line, if possible.  </w:t>
      </w:r>
      <w:r>
        <w:rPr>
          <w:b/>
          <w:bCs/>
        </w:rPr>
        <w:t>NMED Ex. 32</w:t>
      </w:r>
      <w:r>
        <w:t xml:space="preserve"> at </w:t>
      </w:r>
      <w:r w:rsidR="00527D42">
        <w:t>149</w:t>
      </w:r>
      <w:r>
        <w:t>-50 (</w:t>
      </w:r>
      <w:r w:rsidR="00160057">
        <w:t>Bisbey-Kuehn</w:t>
      </w:r>
      <w:r>
        <w:t>/Palmer Direct)</w:t>
      </w:r>
      <w:r w:rsidR="009704CA">
        <w:t>; Tr. Vol. 9, 3099:2-20 (</w:t>
      </w:r>
      <w:r w:rsidR="005F6D4C">
        <w:t>Bisbey-</w:t>
      </w:r>
      <w:r w:rsidR="009704CA">
        <w:t>Kuehn).</w:t>
      </w:r>
    </w:p>
    <w:p w14:paraId="3BD69343" w14:textId="227C307F" w:rsidR="00527D42" w:rsidRDefault="00527D42" w:rsidP="00DD1C02">
      <w:pPr>
        <w:pStyle w:val="ListParagraph"/>
        <w:numPr>
          <w:ilvl w:val="0"/>
          <w:numId w:val="2"/>
        </w:numPr>
        <w:spacing w:line="480" w:lineRule="auto"/>
        <w:ind w:left="0" w:firstLine="720"/>
        <w:jc w:val="both"/>
      </w:pPr>
      <w:r>
        <w:t xml:space="preserve">As part of the best practices, NMED’s proposal requires an operator to notify all residents within one-quarter mile of the well at least three days before the workover by certified mail.  </w:t>
      </w:r>
      <w:r>
        <w:rPr>
          <w:b/>
          <w:bCs/>
        </w:rPr>
        <w:t>NMED Ex. 32</w:t>
      </w:r>
      <w:r>
        <w:t xml:space="preserve"> at 150 (</w:t>
      </w:r>
      <w:r w:rsidR="00160057">
        <w:t>Bisbey-Kuehn</w:t>
      </w:r>
      <w:r>
        <w:t>/Palmer Direct).</w:t>
      </w:r>
    </w:p>
    <w:p w14:paraId="14992D08" w14:textId="7A328FEB" w:rsidR="00527D42" w:rsidRDefault="00527D42" w:rsidP="00DD1C02">
      <w:pPr>
        <w:pStyle w:val="ListParagraph"/>
        <w:numPr>
          <w:ilvl w:val="0"/>
          <w:numId w:val="2"/>
        </w:numPr>
        <w:spacing w:line="480" w:lineRule="auto"/>
        <w:ind w:left="0" w:firstLine="720"/>
        <w:jc w:val="both"/>
      </w:pPr>
      <w:r>
        <w:t>IPANM objected to this proposal on the grounds that the three</w:t>
      </w:r>
      <w:r w:rsidR="005F6D4C">
        <w:t>-</w:t>
      </w:r>
      <w:r>
        <w:t xml:space="preserve">day advance notice requirement would unnecessarily delay well workers and result in more miles traveled by workover rigs to perform routine downhole maintenance.  </w:t>
      </w:r>
      <w:r>
        <w:rPr>
          <w:b/>
          <w:bCs/>
        </w:rPr>
        <w:t>IPANM Ex. 2</w:t>
      </w:r>
      <w:r>
        <w:t xml:space="preserve"> at 18 (Davis Direct). </w:t>
      </w:r>
    </w:p>
    <w:p w14:paraId="10E5BCA1" w14:textId="75C15810" w:rsidR="00C57D40" w:rsidRDefault="00C57D40" w:rsidP="00DD1C02">
      <w:pPr>
        <w:pStyle w:val="ListParagraph"/>
        <w:numPr>
          <w:ilvl w:val="0"/>
          <w:numId w:val="2"/>
        </w:numPr>
        <w:spacing w:line="480" w:lineRule="auto"/>
        <w:ind w:left="0" w:firstLine="720"/>
        <w:jc w:val="both"/>
      </w:pPr>
      <w:r>
        <w:lastRenderedPageBreak/>
        <w:t xml:space="preserve">IPANM testified that when a workover rig is working in an area and a well in </w:t>
      </w:r>
      <w:proofErr w:type="gramStart"/>
      <w:r>
        <w:t>close proximity</w:t>
      </w:r>
      <w:proofErr w:type="gramEnd"/>
      <w:r>
        <w:t xml:space="preserve"> “goes down, we may need to be able to move the rig to the location within 24 hours to avoid having the rig leave the area and return later.”  </w:t>
      </w:r>
      <w:r>
        <w:rPr>
          <w:b/>
          <w:bCs/>
        </w:rPr>
        <w:t>IPANM Ex. 2</w:t>
      </w:r>
      <w:r>
        <w:t xml:space="preserve"> at 18 (Davis Direct).</w:t>
      </w:r>
    </w:p>
    <w:p w14:paraId="155C5540" w14:textId="7841CDCE" w:rsidR="00A9455E" w:rsidRDefault="00A9455E" w:rsidP="00DD1C02">
      <w:pPr>
        <w:pStyle w:val="ListParagraph"/>
        <w:numPr>
          <w:ilvl w:val="0"/>
          <w:numId w:val="2"/>
        </w:numPr>
        <w:spacing w:line="480" w:lineRule="auto"/>
        <w:ind w:left="0" w:firstLine="720"/>
        <w:jc w:val="both"/>
      </w:pPr>
      <w:r>
        <w:t xml:space="preserve">NMOGA also objected to </w:t>
      </w:r>
      <w:r w:rsidR="00A30B09">
        <w:t>the</w:t>
      </w:r>
      <w:r>
        <w:t xml:space="preserve"> proposal on the grounds that it will have no effect on emissions</w:t>
      </w:r>
      <w:r w:rsidR="00A30B09">
        <w:t xml:space="preserve">. </w:t>
      </w:r>
      <w:r>
        <w:t xml:space="preserve"> </w:t>
      </w:r>
      <w:r w:rsidR="00A30B09">
        <w:t>NMOGA</w:t>
      </w:r>
      <w:r w:rsidR="00BB7CB0">
        <w:t xml:space="preserve"> requested an exemption for the three</w:t>
      </w:r>
      <w:r w:rsidR="00BF68D4">
        <w:t>-</w:t>
      </w:r>
      <w:r w:rsidR="00BB7CB0">
        <w:t>day notice</w:t>
      </w:r>
      <w:r>
        <w:t xml:space="preserve"> when routine well work that is not expected to generate significant emissions is being completed.  </w:t>
      </w:r>
      <w:r>
        <w:rPr>
          <w:b/>
          <w:bCs/>
        </w:rPr>
        <w:t>NMOGA Appendix A1</w:t>
      </w:r>
      <w:r>
        <w:t xml:space="preserve"> at 30 (Smitherman Direct). </w:t>
      </w:r>
    </w:p>
    <w:p w14:paraId="76139DC4" w14:textId="1A0212F0" w:rsidR="00A9455E" w:rsidRDefault="00BB7CB0" w:rsidP="00DD1C02">
      <w:pPr>
        <w:pStyle w:val="ListParagraph"/>
        <w:numPr>
          <w:ilvl w:val="0"/>
          <w:numId w:val="2"/>
        </w:numPr>
        <w:spacing w:line="480" w:lineRule="auto"/>
        <w:ind w:left="0" w:firstLine="720"/>
        <w:jc w:val="both"/>
      </w:pPr>
      <w:r>
        <w:t>NMOGA also proposed that the Department include more flexibility in the type of notice sin</w:t>
      </w:r>
      <w:r w:rsidR="00E65E18">
        <w:t>c</w:t>
      </w:r>
      <w:r>
        <w:t xml:space="preserve">e there are many new methods to communicate </w:t>
      </w:r>
      <w:r w:rsidR="00E03219">
        <w:t>that</w:t>
      </w:r>
      <w:r>
        <w:t xml:space="preserve"> are easier and more transparent that using certified mail.  </w:t>
      </w:r>
      <w:r>
        <w:rPr>
          <w:b/>
          <w:bCs/>
        </w:rPr>
        <w:t>NMOGA Appendix A2</w:t>
      </w:r>
      <w:r>
        <w:t xml:space="preserve"> at 31 (Smitherman Direct).</w:t>
      </w:r>
    </w:p>
    <w:p w14:paraId="7CEB033A" w14:textId="0088CA05" w:rsidR="009704CA" w:rsidRDefault="00DD1C02" w:rsidP="00DD1C02">
      <w:pPr>
        <w:pStyle w:val="ListParagraph"/>
        <w:numPr>
          <w:ilvl w:val="0"/>
          <w:numId w:val="2"/>
        </w:numPr>
        <w:spacing w:line="480" w:lineRule="auto"/>
        <w:ind w:left="0" w:firstLine="720"/>
        <w:jc w:val="both"/>
      </w:pPr>
      <w:r>
        <w:t xml:space="preserve">In NMED’s rebuttal, the Department agreed to include more flexible means of communication, other than certified mail to notify local landowners.  </w:t>
      </w:r>
      <w:r w:rsidR="009704CA">
        <w:rPr>
          <w:b/>
          <w:bCs/>
        </w:rPr>
        <w:t>NMED Rebuttal Ex. 1</w:t>
      </w:r>
      <w:r w:rsidR="009704CA">
        <w:t xml:space="preserve"> at 97 (</w:t>
      </w:r>
      <w:r w:rsidR="00160057">
        <w:t>Bisbey-Kuehn</w:t>
      </w:r>
      <w:r w:rsidR="009704CA">
        <w:t>/Palmer Rebuttal).</w:t>
      </w:r>
    </w:p>
    <w:p w14:paraId="698319AC" w14:textId="75DA4BB8" w:rsidR="00DD1C02" w:rsidRDefault="00DD1C02" w:rsidP="00DD1C02">
      <w:pPr>
        <w:pStyle w:val="ListParagraph"/>
        <w:numPr>
          <w:ilvl w:val="0"/>
          <w:numId w:val="2"/>
        </w:numPr>
        <w:spacing w:line="480" w:lineRule="auto"/>
        <w:ind w:left="0" w:firstLine="720"/>
        <w:jc w:val="both"/>
      </w:pPr>
      <w:r>
        <w:t xml:space="preserve">NMED also included an exception to the three-day notification requirement for emergency or routine workovers due to upsets </w:t>
      </w:r>
      <w:r w:rsidR="00E03219">
        <w:t>and</w:t>
      </w:r>
      <w:r>
        <w:t xml:space="preserve"> equipment malfunctions.  For the exception, NMED shorten</w:t>
      </w:r>
      <w:r w:rsidR="00E03219">
        <w:t>ed</w:t>
      </w:r>
      <w:r>
        <w:t xml:space="preserve"> the notice time to 24-hours</w:t>
      </w:r>
      <w:r w:rsidR="00805071">
        <w:t xml:space="preserve"> of the event</w:t>
      </w:r>
      <w:r>
        <w:t xml:space="preserve">.  </w:t>
      </w:r>
      <w:r>
        <w:rPr>
          <w:b/>
          <w:bCs/>
        </w:rPr>
        <w:t>NMED Rebuttal Ex. 1</w:t>
      </w:r>
      <w:r>
        <w:t xml:space="preserve"> at 97 (</w:t>
      </w:r>
      <w:r w:rsidR="00160057">
        <w:t>Bisbey-Kuehn</w:t>
      </w:r>
      <w:r>
        <w:t>/Palmer Rebuttal).</w:t>
      </w:r>
    </w:p>
    <w:p w14:paraId="51AEDAA9" w14:textId="4B1BCBC0" w:rsidR="00161B6F" w:rsidRDefault="00161B6F" w:rsidP="00DD1C02">
      <w:pPr>
        <w:pStyle w:val="ListParagraph"/>
        <w:numPr>
          <w:ilvl w:val="0"/>
          <w:numId w:val="2"/>
        </w:numPr>
        <w:spacing w:line="480" w:lineRule="auto"/>
        <w:ind w:left="0" w:firstLine="720"/>
        <w:jc w:val="both"/>
      </w:pPr>
      <w:r>
        <w:t xml:space="preserve">IPANM’s rebuttal reiterated its concerns with the three-day notice provisions and questioned how a notification to nearby residents </w:t>
      </w:r>
      <w:proofErr w:type="gramStart"/>
      <w:r>
        <w:t>actually results</w:t>
      </w:r>
      <w:proofErr w:type="gramEnd"/>
      <w:r>
        <w:t xml:space="preserve"> in any reduction in VOC emissions.  </w:t>
      </w:r>
      <w:r>
        <w:rPr>
          <w:b/>
          <w:bCs/>
        </w:rPr>
        <w:t>IPANM Ex. 10</w:t>
      </w:r>
      <w:r>
        <w:t xml:space="preserve"> at 23 (Davis Rebuttal). </w:t>
      </w:r>
    </w:p>
    <w:p w14:paraId="0D7726A0" w14:textId="58DCFC5A" w:rsidR="009704CA" w:rsidRDefault="009704CA" w:rsidP="00DD1C02">
      <w:pPr>
        <w:pStyle w:val="ListParagraph"/>
        <w:numPr>
          <w:ilvl w:val="0"/>
          <w:numId w:val="2"/>
        </w:numPr>
        <w:spacing w:line="480" w:lineRule="auto"/>
        <w:ind w:left="0" w:firstLine="720"/>
        <w:jc w:val="both"/>
      </w:pPr>
      <w:r>
        <w:t>At the hearing Ms. Bisbey- Kuehn explained the changes NMED had made to the rule that were outlined in her rebuttal testimony.  Tr. Vol. 9, 3097:9-</w:t>
      </w:r>
      <w:r w:rsidR="005F6D4C">
        <w:t>3104:23 (Bisbey-Kuehn)</w:t>
      </w:r>
      <w:r w:rsidR="00BF68D4">
        <w:t>.</w:t>
      </w:r>
    </w:p>
    <w:p w14:paraId="036C9D5F" w14:textId="25468CF8" w:rsidR="005F6D4C" w:rsidRDefault="005F6D4C" w:rsidP="00DD1C02">
      <w:pPr>
        <w:pStyle w:val="ListParagraph"/>
        <w:numPr>
          <w:ilvl w:val="0"/>
          <w:numId w:val="2"/>
        </w:numPr>
        <w:spacing w:line="480" w:lineRule="auto"/>
        <w:ind w:left="0" w:firstLine="720"/>
        <w:jc w:val="both"/>
      </w:pPr>
      <w:r>
        <w:lastRenderedPageBreak/>
        <w:t xml:space="preserve">Mr. Davis of IPANM testified that </w:t>
      </w:r>
      <w:r w:rsidR="00D31A8B">
        <w:t>most of IPANM’s</w:t>
      </w:r>
      <w:r>
        <w:t xml:space="preserve"> concerns with the rule have been addressed by NMED</w:t>
      </w:r>
      <w:r w:rsidR="00BB5DBE">
        <w:t>;</w:t>
      </w:r>
      <w:r>
        <w:t xml:space="preserve"> however</w:t>
      </w:r>
      <w:r w:rsidR="00BB5DBE">
        <w:t>,</w:t>
      </w:r>
      <w:r>
        <w:t xml:space="preserve"> </w:t>
      </w:r>
      <w:r w:rsidR="00E03219">
        <w:t xml:space="preserve">it still had </w:t>
      </w:r>
      <w:r>
        <w:t xml:space="preserve">a concern </w:t>
      </w:r>
      <w:r w:rsidR="005F413C">
        <w:t>about</w:t>
      </w:r>
      <w:r>
        <w:t xml:space="preserve"> the administrative burden of </w:t>
      </w:r>
      <w:r w:rsidR="005F413C">
        <w:t xml:space="preserve">the required </w:t>
      </w:r>
      <w:r>
        <w:t xml:space="preserve">notification </w:t>
      </w:r>
      <w:r w:rsidR="005F413C">
        <w:t>for</w:t>
      </w:r>
      <w:r>
        <w:t xml:space="preserve"> routine workovers.  Tr. Vol. 9, 3107:25-13 (Davis).</w:t>
      </w:r>
    </w:p>
    <w:p w14:paraId="1E9AC8EF" w14:textId="22A871B6" w:rsidR="008A2120" w:rsidRDefault="008A2120" w:rsidP="00DD1C02">
      <w:pPr>
        <w:pStyle w:val="ListParagraph"/>
        <w:numPr>
          <w:ilvl w:val="0"/>
          <w:numId w:val="2"/>
        </w:numPr>
        <w:spacing w:line="480" w:lineRule="auto"/>
        <w:ind w:left="0" w:firstLine="720"/>
        <w:jc w:val="both"/>
      </w:pPr>
      <w:r>
        <w:t xml:space="preserve">Further, Mr. Davis testified that the quarter-mile distance could encompass a lot of residents for notification </w:t>
      </w:r>
      <w:proofErr w:type="gramStart"/>
      <w:r>
        <w:t>purposes</w:t>
      </w:r>
      <w:proofErr w:type="gramEnd"/>
      <w:r>
        <w:t xml:space="preserve"> and this would be a serious administrative burden in more densely populated areas.  Tr. Vol. 9, 310</w:t>
      </w:r>
      <w:r w:rsidR="00A56CC9">
        <w:t>8</w:t>
      </w:r>
      <w:r>
        <w:t>:</w:t>
      </w:r>
      <w:r w:rsidR="00A56CC9">
        <w:t>14-3109:19 (Davis).</w:t>
      </w:r>
    </w:p>
    <w:p w14:paraId="4B3CD27B" w14:textId="77777777" w:rsidR="005F6D4C" w:rsidRDefault="005F6D4C" w:rsidP="00DD1C02">
      <w:pPr>
        <w:pStyle w:val="ListParagraph"/>
        <w:numPr>
          <w:ilvl w:val="0"/>
          <w:numId w:val="2"/>
        </w:numPr>
        <w:spacing w:line="480" w:lineRule="auto"/>
        <w:ind w:left="0" w:firstLine="720"/>
        <w:jc w:val="both"/>
      </w:pPr>
      <w:r>
        <w:t xml:space="preserve">IPANM suggested </w:t>
      </w:r>
      <w:r w:rsidR="005F413C">
        <w:t>that NMED</w:t>
      </w:r>
      <w:r>
        <w:t xml:space="preserve"> allow for alternate notification options such as </w:t>
      </w:r>
      <w:r w:rsidR="00BB5DBE">
        <w:t xml:space="preserve">erecting </w:t>
      </w:r>
      <w:r>
        <w:t>signs at the entrance of the well sites and creating a smaller buffer for notification to residents as some wells are in residential areas and this would require a significant amount of notice.  Tr. Vol. 9, 3109:6-19 (Davis).</w:t>
      </w:r>
    </w:p>
    <w:p w14:paraId="615534F2" w14:textId="735CA273" w:rsidR="00646CE9" w:rsidRDefault="00646CE9" w:rsidP="00166E55">
      <w:pPr>
        <w:pStyle w:val="ListParagraph"/>
        <w:numPr>
          <w:ilvl w:val="0"/>
          <w:numId w:val="2"/>
        </w:numPr>
        <w:spacing w:after="0" w:line="480" w:lineRule="auto"/>
        <w:ind w:left="0" w:firstLine="720"/>
        <w:jc w:val="both"/>
      </w:pPr>
      <w:r>
        <w:t xml:space="preserve">The </w:t>
      </w:r>
      <w:r w:rsidR="00A62BD1">
        <w:t>Board</w:t>
      </w:r>
      <w:r>
        <w:t xml:space="preserve"> finds that the language as proposed in </w:t>
      </w:r>
      <w:r w:rsidR="00196A62">
        <w:t>IPANM’s September</w:t>
      </w:r>
      <w:r w:rsidR="00BF68D4">
        <w:t xml:space="preserve"> 16</w:t>
      </w:r>
      <w:r>
        <w:t xml:space="preserve">, 2021, version of the </w:t>
      </w:r>
      <w:r w:rsidR="00723AC7">
        <w:t>Ozone Rule</w:t>
      </w:r>
      <w:r>
        <w:t xml:space="preserve"> for 20.2.50.</w:t>
      </w:r>
      <w:r w:rsidR="005F6D4C">
        <w:t>124 should be adopted</w:t>
      </w:r>
      <w:r w:rsidR="00105BE6">
        <w:t>.</w:t>
      </w:r>
    </w:p>
    <w:p w14:paraId="1EAA821E" w14:textId="30F5B15A" w:rsidR="004156E2" w:rsidRDefault="002A69FF" w:rsidP="00960628">
      <w:pPr>
        <w:pStyle w:val="Heading2"/>
      </w:pPr>
      <w:bookmarkStart w:id="20" w:name="_Toc93581898"/>
      <w:r>
        <w:t xml:space="preserve">EDF </w:t>
      </w:r>
      <w:r w:rsidR="004156E2">
        <w:t>Proximity Proposals</w:t>
      </w:r>
      <w:bookmarkEnd w:id="20"/>
    </w:p>
    <w:p w14:paraId="291D55F1" w14:textId="4E0DD09A" w:rsidR="00471752" w:rsidRDefault="00471752" w:rsidP="00BF0B76">
      <w:pPr>
        <w:pStyle w:val="ListParagraph"/>
        <w:numPr>
          <w:ilvl w:val="0"/>
          <w:numId w:val="2"/>
        </w:numPr>
        <w:spacing w:line="480" w:lineRule="auto"/>
        <w:ind w:left="0" w:firstLine="720"/>
        <w:jc w:val="both"/>
      </w:pPr>
      <w:r>
        <w:t xml:space="preserve">In addition to </w:t>
      </w:r>
      <w:r w:rsidR="00530B03">
        <w:t xml:space="preserve">NMED’s proposals, EDF made its own proposal regarding proximity of facilities to occupied residences as part of a request to increase the frequency of </w:t>
      </w:r>
      <w:r w:rsidR="00471312">
        <w:t>Leak Detection and Repair (“</w:t>
      </w:r>
      <w:r w:rsidR="00530B03">
        <w:t>LDAR</w:t>
      </w:r>
      <w:r w:rsidR="00471312">
        <w:t>”)</w:t>
      </w:r>
      <w:r w:rsidR="00530B03">
        <w:t xml:space="preserve"> monitoring in 20.2.50.116.  </w:t>
      </w:r>
      <w:r w:rsidR="00530B03">
        <w:rPr>
          <w:b/>
          <w:bCs/>
        </w:rPr>
        <w:t xml:space="preserve">EDF Ex. SS </w:t>
      </w:r>
      <w:r w:rsidR="00530B03">
        <w:t>at 4 (Hull).</w:t>
      </w:r>
    </w:p>
    <w:p w14:paraId="42F1A5DA" w14:textId="499C53E2" w:rsidR="00CC6010" w:rsidRDefault="004156E2" w:rsidP="00BF0B76">
      <w:pPr>
        <w:pStyle w:val="ListParagraph"/>
        <w:numPr>
          <w:ilvl w:val="0"/>
          <w:numId w:val="2"/>
        </w:numPr>
        <w:spacing w:line="480" w:lineRule="auto"/>
        <w:ind w:left="0" w:firstLine="720"/>
        <w:jc w:val="both"/>
      </w:pPr>
      <w:r>
        <w:t xml:space="preserve">EDF </w:t>
      </w:r>
      <w:r w:rsidR="002A69FF">
        <w:t>proposed</w:t>
      </w:r>
      <w:r w:rsidR="003B2DB7">
        <w:t xml:space="preserve"> that operators must perform LDAR inspections</w:t>
      </w:r>
      <w:r w:rsidR="002A69FF">
        <w:t xml:space="preserve"> </w:t>
      </w:r>
      <w:r w:rsidR="003B2DB7">
        <w:t>of well sites at greater frequencies when a regulated site is located within 1,000 feet of an occupied area</w:t>
      </w:r>
      <w:r>
        <w:t xml:space="preserve">.  </w:t>
      </w:r>
      <w:r>
        <w:rPr>
          <w:b/>
          <w:bCs/>
        </w:rPr>
        <w:t xml:space="preserve">EDF Ex. SS </w:t>
      </w:r>
      <w:r>
        <w:t>at 4 (Hull).</w:t>
      </w:r>
    </w:p>
    <w:p w14:paraId="0BE2EAAA" w14:textId="1E4AA8D4" w:rsidR="004156E2" w:rsidRDefault="003B2DB7" w:rsidP="00960628">
      <w:pPr>
        <w:pStyle w:val="ListParagraph"/>
        <w:numPr>
          <w:ilvl w:val="0"/>
          <w:numId w:val="2"/>
        </w:numPr>
        <w:spacing w:before="240" w:line="480" w:lineRule="auto"/>
        <w:ind w:left="0" w:firstLine="720"/>
        <w:jc w:val="both"/>
      </w:pPr>
      <w:r>
        <w:t xml:space="preserve">This proposal included adding a new definition to 20.2.50.7 NMAC for an “occupied area” that generally provided boundaries and criteria for what would be considered an occupied area.  </w:t>
      </w:r>
      <w:r>
        <w:rPr>
          <w:b/>
          <w:bCs/>
        </w:rPr>
        <w:t>EDF Ex. VV</w:t>
      </w:r>
      <w:r>
        <w:t xml:space="preserve"> at 3 (Proposed Redline of Rule).  It also included additional </w:t>
      </w:r>
      <w:r>
        <w:lastRenderedPageBreak/>
        <w:t xml:space="preserve">monitoring requirements under 20.2.50.116(C)(3)(c) NMAC that increased LDAR monitoring frequency for wells near occupied areas.  </w:t>
      </w:r>
      <w:r>
        <w:rPr>
          <w:b/>
          <w:bCs/>
          <w:i/>
          <w:iCs/>
        </w:rPr>
        <w:t>Id.</w:t>
      </w:r>
      <w:r>
        <w:rPr>
          <w:b/>
          <w:bCs/>
        </w:rPr>
        <w:t xml:space="preserve"> </w:t>
      </w:r>
      <w:r>
        <w:t>at 17.</w:t>
      </w:r>
    </w:p>
    <w:p w14:paraId="10D0AA17" w14:textId="44169855" w:rsidR="00807087" w:rsidRDefault="00B94504" w:rsidP="00807087">
      <w:pPr>
        <w:pStyle w:val="ListParagraph"/>
        <w:numPr>
          <w:ilvl w:val="0"/>
          <w:numId w:val="2"/>
        </w:numPr>
        <w:spacing w:line="480" w:lineRule="auto"/>
        <w:ind w:left="0" w:firstLine="720"/>
        <w:jc w:val="both"/>
      </w:pPr>
      <w:r>
        <w:t>EDF was joined by CAA, CCP, NAVA, and Oxy in their proposal.  EDF Rebuttal NOI at 1-2</w:t>
      </w:r>
      <w:r w:rsidR="00807087">
        <w:t>; Tr. Vol. 8, 2539:17-23 (Lyons) The New Mexico Environmental Law Center also supported this proposal.  Tr. Vol. 8, 2577:14-22 (Lyons).</w:t>
      </w:r>
    </w:p>
    <w:p w14:paraId="3019E236" w14:textId="77777777" w:rsidR="00807087" w:rsidRDefault="00807087" w:rsidP="00807087">
      <w:pPr>
        <w:pStyle w:val="ListParagraph"/>
        <w:numPr>
          <w:ilvl w:val="0"/>
          <w:numId w:val="2"/>
        </w:numPr>
        <w:spacing w:line="480" w:lineRule="auto"/>
        <w:ind w:left="0" w:firstLine="720"/>
        <w:jc w:val="both"/>
      </w:pPr>
      <w:r>
        <w:t>At the hearing, EDF’s witness, Dr. Lyons testified about this proposal and its purpose to “protect frontline communities from excess emissions while also helping New Mexico avoid ozone nonattainment”.  Tr. Vol. 8, 2539:17-2540:9 (Lyons).</w:t>
      </w:r>
    </w:p>
    <w:p w14:paraId="6C0811BF" w14:textId="77777777" w:rsidR="00807087" w:rsidRDefault="00807087" w:rsidP="00807087">
      <w:pPr>
        <w:pStyle w:val="ListParagraph"/>
        <w:numPr>
          <w:ilvl w:val="0"/>
          <w:numId w:val="2"/>
        </w:numPr>
        <w:spacing w:line="480" w:lineRule="auto"/>
        <w:ind w:left="0" w:firstLine="720"/>
        <w:jc w:val="both"/>
      </w:pPr>
      <w:r>
        <w:t xml:space="preserve">Another EDF witness, Ms. Hull, testified in response to a question about how the proximity proposal relates to exceedances of federal ozone NAAQS that the proximity proposal is a “reference to all [pollutants] . . . that are associated with oil and gas that are creating negative health impacts.”  Tr. Vol. 8, 2621:1-6 (Hull). </w:t>
      </w:r>
    </w:p>
    <w:p w14:paraId="0C9DCE51" w14:textId="77777777" w:rsidR="00807087" w:rsidRDefault="00807087" w:rsidP="00807087">
      <w:pPr>
        <w:pStyle w:val="ListParagraph"/>
        <w:numPr>
          <w:ilvl w:val="0"/>
          <w:numId w:val="2"/>
        </w:numPr>
        <w:spacing w:line="480" w:lineRule="auto"/>
        <w:ind w:left="0" w:firstLine="720"/>
        <w:jc w:val="both"/>
      </w:pPr>
      <w:r>
        <w:t>EDF witness, Dr. Thompson testified regarding the proximity proposal that she believes it goes to both compliance with NAAQS and preventing unnecessary health risks.  Tr. Vol. 8, 2731:18-19 (Thompson).</w:t>
      </w:r>
    </w:p>
    <w:p w14:paraId="1D00ABB5" w14:textId="77777777" w:rsidR="00807087" w:rsidRDefault="00807087" w:rsidP="00807087">
      <w:pPr>
        <w:pStyle w:val="ListParagraph"/>
        <w:numPr>
          <w:ilvl w:val="0"/>
          <w:numId w:val="2"/>
        </w:numPr>
        <w:spacing w:line="480" w:lineRule="auto"/>
        <w:ind w:left="0" w:firstLine="720"/>
        <w:jc w:val="both"/>
      </w:pPr>
      <w:r>
        <w:t>The proximity proposal was questioned by IPANM as being unrelated to regulation of ozone precursors and implementing ozone NAAQS.  Tr. Vol. 8, 2733:8-22 (Rose).</w:t>
      </w:r>
    </w:p>
    <w:p w14:paraId="79FCE821" w14:textId="159A3BB3" w:rsidR="004156E2" w:rsidRDefault="00807087" w:rsidP="0073072C">
      <w:pPr>
        <w:pStyle w:val="ListParagraph"/>
        <w:numPr>
          <w:ilvl w:val="0"/>
          <w:numId w:val="2"/>
        </w:numPr>
        <w:spacing w:after="0" w:line="480" w:lineRule="auto"/>
        <w:ind w:left="0" w:firstLine="720"/>
        <w:jc w:val="both"/>
      </w:pPr>
      <w:r>
        <w:t>The Board finds that the proximity proposal is unrelated to the implementation of the federal ozone NAAQS and therefore</w:t>
      </w:r>
      <w:r w:rsidR="00166E55">
        <w:t>,</w:t>
      </w:r>
      <w:r>
        <w:t xml:space="preserve"> cannot be included in the final rule.</w:t>
      </w:r>
    </w:p>
    <w:p w14:paraId="4387F4B9" w14:textId="0CC7BABC" w:rsidR="00C16D5D" w:rsidRDefault="00C16D5D" w:rsidP="00C16D5D">
      <w:pPr>
        <w:pStyle w:val="Heading2"/>
      </w:pPr>
      <w:bookmarkStart w:id="21" w:name="_Hlk91514738"/>
      <w:bookmarkStart w:id="22" w:name="_Toc93581899"/>
      <w:r w:rsidRPr="003646C2">
        <w:t>20.2.5.50.</w:t>
      </w:r>
      <w:proofErr w:type="gramStart"/>
      <w:r w:rsidRPr="003646C2">
        <w:t>7.</w:t>
      </w:r>
      <w:r w:rsidR="00FC66AD">
        <w:t>OO</w:t>
      </w:r>
      <w:proofErr w:type="gramEnd"/>
      <w:r>
        <w:t xml:space="preserve"> NMAC</w:t>
      </w:r>
      <w:r w:rsidR="002A69FF">
        <w:t xml:space="preserve"> </w:t>
      </w:r>
      <w:r>
        <w:t>and 20.2.50.125</w:t>
      </w:r>
      <w:r w:rsidR="00392EB0">
        <w:t xml:space="preserve"> NMAC</w:t>
      </w:r>
      <w:r w:rsidR="00BF0B76">
        <w:t xml:space="preserve">: </w:t>
      </w:r>
      <w:r>
        <w:t>Small Business Facilities</w:t>
      </w:r>
      <w:bookmarkEnd w:id="22"/>
      <w:r>
        <w:t xml:space="preserve"> </w:t>
      </w:r>
    </w:p>
    <w:bookmarkEnd w:id="21"/>
    <w:p w14:paraId="4F661E31" w14:textId="0EB4BA97" w:rsidR="00BF0B76" w:rsidRDefault="00BF0B76" w:rsidP="00D06211">
      <w:pPr>
        <w:pStyle w:val="ListParagraph"/>
        <w:numPr>
          <w:ilvl w:val="0"/>
          <w:numId w:val="2"/>
        </w:numPr>
        <w:spacing w:after="0" w:line="480" w:lineRule="auto"/>
        <w:ind w:left="0" w:firstLine="720"/>
        <w:jc w:val="both"/>
      </w:pPr>
      <w:r w:rsidRPr="00BF0B76">
        <w:t>20.2.50.</w:t>
      </w:r>
      <w:proofErr w:type="gramStart"/>
      <w:r>
        <w:t>7.OO</w:t>
      </w:r>
      <w:proofErr w:type="gramEnd"/>
      <w:r>
        <w:t xml:space="preserve"> </w:t>
      </w:r>
      <w:r w:rsidR="005F413C">
        <w:t>NMAC</w:t>
      </w:r>
      <w:r w:rsidR="003646C2">
        <w:t xml:space="preserve"> </w:t>
      </w:r>
      <w:r w:rsidR="005F413C">
        <w:t xml:space="preserve"> </w:t>
      </w:r>
      <w:r>
        <w:t xml:space="preserve">defines a </w:t>
      </w:r>
      <w:r w:rsidR="00D31A8B">
        <w:t>“</w:t>
      </w:r>
      <w:r>
        <w:t>small business facility</w:t>
      </w:r>
      <w:r w:rsidRPr="00BF0B76">
        <w:t xml:space="preserve"> </w:t>
      </w:r>
      <w:r w:rsidR="00D31A8B">
        <w:t>“</w:t>
      </w:r>
      <w:r w:rsidRPr="00BF0B76">
        <w:t>as a source that is</w:t>
      </w:r>
      <w:r>
        <w:t xml:space="preserve"> </w:t>
      </w:r>
      <w:r w:rsidRPr="00BF0B76">
        <w:t>independently owned or operated by a company that is a not a subsidiary or a division of another</w:t>
      </w:r>
      <w:r>
        <w:t xml:space="preserve"> </w:t>
      </w:r>
      <w:r w:rsidRPr="00BF0B76">
        <w:t xml:space="preserve">business, employs no more than 10 employees at any time during the calendar year, and has a gross </w:t>
      </w:r>
      <w:r w:rsidRPr="00BF0B76">
        <w:lastRenderedPageBreak/>
        <w:t xml:space="preserve">annual revenue of less than $250,000. </w:t>
      </w:r>
      <w:r>
        <w:t>Part</w:t>
      </w:r>
      <w:r w:rsidRPr="00BF0B76">
        <w:t xml:space="preserve">-time, temporary, </w:t>
      </w:r>
      <w:r>
        <w:t xml:space="preserve">and </w:t>
      </w:r>
      <w:r w:rsidRPr="00BF0B76">
        <w:t>limited-service workers</w:t>
      </w:r>
      <w:r>
        <w:t xml:space="preserve"> are considered employees.</w:t>
      </w:r>
      <w:r w:rsidR="003646C2">
        <w:t xml:space="preserve">  </w:t>
      </w:r>
      <w:r w:rsidR="00C52149" w:rsidRPr="00C52149">
        <w:rPr>
          <w:b/>
          <w:bCs/>
        </w:rPr>
        <w:t>NMED Ex. 102</w:t>
      </w:r>
      <w:r w:rsidR="00C52149">
        <w:t xml:space="preserve"> at 2:14-18 (Day/Bisbey-Kuehn).</w:t>
      </w:r>
      <w:r w:rsidR="00D41DAB">
        <w:t xml:space="preserve">  </w:t>
      </w:r>
      <w:r w:rsidR="00D31A8B">
        <w:t>Independent c</w:t>
      </w:r>
      <w:r w:rsidR="00D41DAB">
        <w:t xml:space="preserve">ontractors are not deemed “employees” under the proposed definition. </w:t>
      </w:r>
      <w:r w:rsidR="00D41DAB" w:rsidRPr="00D41DAB">
        <w:t>Tr. Vol. 3, 8</w:t>
      </w:r>
      <w:r w:rsidR="00D41DAB">
        <w:t>88</w:t>
      </w:r>
      <w:r w:rsidR="00D41DAB" w:rsidRPr="00D41DAB">
        <w:t>:</w:t>
      </w:r>
      <w:r w:rsidR="00D41DAB">
        <w:t>15-17</w:t>
      </w:r>
      <w:r w:rsidR="001A22DD">
        <w:t xml:space="preserve"> </w:t>
      </w:r>
      <w:r w:rsidR="00D41DAB">
        <w:t>(Bisbey-Kuehn).</w:t>
      </w:r>
    </w:p>
    <w:p w14:paraId="563B7840" w14:textId="77777777" w:rsidR="006457E0" w:rsidRDefault="00C52149" w:rsidP="006457E0">
      <w:pPr>
        <w:pStyle w:val="ListParagraph"/>
        <w:numPr>
          <w:ilvl w:val="0"/>
          <w:numId w:val="2"/>
        </w:numPr>
        <w:spacing w:after="0" w:line="480" w:lineRule="auto"/>
        <w:ind w:left="0" w:firstLine="720"/>
        <w:jc w:val="both"/>
      </w:pPr>
      <w:r>
        <w:t xml:space="preserve">The Department obtained information on global ultimate parent companies and their associated revenue and employment data. </w:t>
      </w:r>
      <w:r w:rsidRPr="00C52149">
        <w:rPr>
          <w:b/>
          <w:bCs/>
        </w:rPr>
        <w:t>NMED Ex. 102</w:t>
      </w:r>
      <w:r>
        <w:t xml:space="preserve"> at 3:13-14 (Day/Bisbey-Kuehn)</w:t>
      </w:r>
      <w:r w:rsidR="000544CF">
        <w:t xml:space="preserve">.  154 facilities out of a total of the Department-identified 460 matched New Mexico facilities were identified as global ultimate parent companies.  </w:t>
      </w:r>
      <w:r w:rsidR="000544CF" w:rsidRPr="000544CF">
        <w:rPr>
          <w:b/>
          <w:bCs/>
          <w:i/>
          <w:iCs/>
        </w:rPr>
        <w:t>Id</w:t>
      </w:r>
      <w:r w:rsidR="000544CF">
        <w:t xml:space="preserve">. at 6:5-12. </w:t>
      </w:r>
    </w:p>
    <w:p w14:paraId="14DCAB6B" w14:textId="7E5005E7" w:rsidR="00D41DAB" w:rsidRDefault="006457E0" w:rsidP="00D41DAB">
      <w:pPr>
        <w:pStyle w:val="ListParagraph"/>
        <w:numPr>
          <w:ilvl w:val="0"/>
          <w:numId w:val="2"/>
        </w:numPr>
        <w:spacing w:after="0" w:line="480" w:lineRule="auto"/>
        <w:ind w:left="0" w:firstLine="720"/>
        <w:jc w:val="both"/>
      </w:pPr>
      <w:r>
        <w:t xml:space="preserve">The Department provided analysis on revenues and employment of well-owners/operators that would be subject to the Part 50. </w:t>
      </w:r>
      <w:r w:rsidRPr="006457E0">
        <w:t xml:space="preserve">Tr. Vol. </w:t>
      </w:r>
      <w:r>
        <w:t>3</w:t>
      </w:r>
      <w:r w:rsidRPr="006457E0">
        <w:t xml:space="preserve">, </w:t>
      </w:r>
      <w:r>
        <w:t>871:20-24</w:t>
      </w:r>
      <w:r w:rsidR="00636142">
        <w:t xml:space="preserve"> (Bisbey-Kuehn)</w:t>
      </w:r>
      <w:r>
        <w:t xml:space="preserve">. </w:t>
      </w:r>
    </w:p>
    <w:p w14:paraId="51D92B35" w14:textId="5EE0EA1B" w:rsidR="008D3A1C" w:rsidRDefault="000000B9" w:rsidP="00B97B82">
      <w:pPr>
        <w:pStyle w:val="ListParagraph"/>
        <w:numPr>
          <w:ilvl w:val="0"/>
          <w:numId w:val="2"/>
        </w:numPr>
        <w:spacing w:after="0" w:line="480" w:lineRule="auto"/>
        <w:ind w:left="0" w:firstLine="720"/>
        <w:jc w:val="both"/>
      </w:pPr>
      <w:r>
        <w:t>The U.S. Small Business Administration</w:t>
      </w:r>
      <w:r w:rsidR="00DD62DE">
        <w:t xml:space="preserve"> (“U.S. SBA”)</w:t>
      </w:r>
      <w:r>
        <w:t xml:space="preserve"> defines industry size standards that identify what entities qualify as a small business. </w:t>
      </w:r>
      <w:r w:rsidR="00DD62DE">
        <w:t xml:space="preserve"> </w:t>
      </w:r>
      <w:r w:rsidRPr="00D41DAB">
        <w:rPr>
          <w:b/>
          <w:bCs/>
        </w:rPr>
        <w:t>NMED Ex. 102</w:t>
      </w:r>
      <w:r w:rsidRPr="000000B9">
        <w:t xml:space="preserve"> at </w:t>
      </w:r>
      <w:r>
        <w:t>6:14-19</w:t>
      </w:r>
      <w:r w:rsidRPr="000000B9">
        <w:t xml:space="preserve"> (Day/Bisbey-Kuehn). </w:t>
      </w:r>
      <w:r>
        <w:t>The Department included the size standards for potentially affected owners/operators and other facilities and, using global ultimate parent company information identified for each facility, identified how that global ultimate parent would be</w:t>
      </w:r>
      <w:r w:rsidR="00D06211">
        <w:t xml:space="preserve"> </w:t>
      </w:r>
      <w:r>
        <w:t xml:space="preserve">classified </w:t>
      </w:r>
      <w:r w:rsidR="00636142">
        <w:t xml:space="preserve">under </w:t>
      </w:r>
      <w:r w:rsidR="001464F9">
        <w:t xml:space="preserve">U.S. </w:t>
      </w:r>
      <w:r>
        <w:t>SBA size definition</w:t>
      </w:r>
      <w:r w:rsidR="00D06211">
        <w:t>.</w:t>
      </w:r>
      <w:r w:rsidR="00D06211" w:rsidRPr="00D41DAB">
        <w:rPr>
          <w:b/>
          <w:bCs/>
          <w:i/>
          <w:iCs/>
        </w:rPr>
        <w:t xml:space="preserve"> Id</w:t>
      </w:r>
      <w:r w:rsidR="00D06211">
        <w:t>. at 7:5-7.</w:t>
      </w:r>
      <w:r w:rsidR="00495013">
        <w:t xml:space="preserve">  </w:t>
      </w:r>
    </w:p>
    <w:p w14:paraId="158EB0C3" w14:textId="63901024" w:rsidR="00B97B82" w:rsidRDefault="00495013" w:rsidP="00B97B82">
      <w:pPr>
        <w:pStyle w:val="ListParagraph"/>
        <w:numPr>
          <w:ilvl w:val="0"/>
          <w:numId w:val="2"/>
        </w:numPr>
        <w:spacing w:after="0" w:line="480" w:lineRule="auto"/>
        <w:ind w:left="0" w:firstLine="720"/>
        <w:jc w:val="both"/>
      </w:pPr>
      <w:r>
        <w:t xml:space="preserve">On cross-examination, Ms. Bisbey-Kuehn testified that the definition of </w:t>
      </w:r>
      <w:r w:rsidR="00D41DAB">
        <w:t>a small business under the New Mexico Small Business Regulatory Relief Act</w:t>
      </w:r>
      <w:r w:rsidR="008D3A1C">
        <w:t>, which is distinct from U.S SBA definition of a small business,</w:t>
      </w:r>
      <w:r w:rsidR="00D41DAB">
        <w:t xml:space="preserve"> provides an example of a threshold and may be appropriate in certain publications; however, she argued a need for strong emissions reductions without explaining why the New Mexico definition of a small business would not meet that end.  </w:t>
      </w:r>
      <w:r w:rsidR="00D41DAB" w:rsidRPr="00D41DAB">
        <w:rPr>
          <w:i/>
          <w:iCs/>
        </w:rPr>
        <w:t>See</w:t>
      </w:r>
      <w:r w:rsidR="00D41DAB">
        <w:t xml:space="preserve"> </w:t>
      </w:r>
      <w:r w:rsidR="00D41DAB" w:rsidRPr="00D41DAB">
        <w:t>Tr. Vol. 3, 8</w:t>
      </w:r>
      <w:r w:rsidR="00D41DAB">
        <w:t>87:6-13</w:t>
      </w:r>
      <w:r w:rsidR="00D41DAB" w:rsidRPr="00D41DAB">
        <w:t xml:space="preserve"> (Bisbey-Kuehn). </w:t>
      </w:r>
    </w:p>
    <w:p w14:paraId="6F432B4C" w14:textId="7D6A27D2" w:rsidR="00BB6816" w:rsidRDefault="00D06211" w:rsidP="00527B44">
      <w:pPr>
        <w:pStyle w:val="ListParagraph"/>
        <w:numPr>
          <w:ilvl w:val="0"/>
          <w:numId w:val="2"/>
        </w:numPr>
        <w:spacing w:after="0" w:line="480" w:lineRule="auto"/>
        <w:ind w:left="0" w:firstLine="720"/>
        <w:jc w:val="both"/>
      </w:pPr>
      <w:r>
        <w:t>Out of a total of 4</w:t>
      </w:r>
      <w:r w:rsidR="00527B44">
        <w:t>06</w:t>
      </w:r>
      <w:r>
        <w:t xml:space="preserve"> ultimate parents with revenue and employment data</w:t>
      </w:r>
      <w:r w:rsidR="00D31A8B">
        <w:t xml:space="preserve"> evaluated by NMED</w:t>
      </w:r>
      <w:r>
        <w:t xml:space="preserve">, the Department identified 355 global ultimate parent companies that meet the SBA </w:t>
      </w:r>
      <w:r>
        <w:lastRenderedPageBreak/>
        <w:t xml:space="preserve">definition of a small business. </w:t>
      </w:r>
      <w:r w:rsidRPr="00527B44">
        <w:rPr>
          <w:b/>
          <w:bCs/>
        </w:rPr>
        <w:t>NMED Ex. 102</w:t>
      </w:r>
      <w:r w:rsidRPr="000000B9">
        <w:t xml:space="preserve"> at </w:t>
      </w:r>
      <w:r>
        <w:t>7:</w:t>
      </w:r>
      <w:r w:rsidR="00BB6816">
        <w:t xml:space="preserve">11-18 </w:t>
      </w:r>
      <w:r w:rsidRPr="000000B9">
        <w:t>(Day/Bisbey-Kuehn)</w:t>
      </w:r>
      <w:r w:rsidR="00BB6816">
        <w:t>.</w:t>
      </w:r>
      <w:r w:rsidR="00527B44" w:rsidRPr="00527B44">
        <w:t xml:space="preserve"> </w:t>
      </w:r>
      <w:r w:rsidR="00527B44">
        <w:t>“The 355 small global ultimate parent companies are associated with 359 small owner/operators and the 51 not small global ultimate parent companies are associated with 77 not-small owner/operators</w:t>
      </w:r>
      <w:bookmarkStart w:id="23" w:name="_Hlk89962424"/>
      <w:r w:rsidR="00527B44">
        <w:t xml:space="preserve">.” </w:t>
      </w:r>
      <w:bookmarkStart w:id="24" w:name="_Hlk89961143"/>
      <w:r w:rsidR="00527B44" w:rsidRPr="00527B44">
        <w:t>Tr. Vol. 3, 87</w:t>
      </w:r>
      <w:r w:rsidR="00527B44">
        <w:t>5</w:t>
      </w:r>
      <w:r w:rsidR="00527B44" w:rsidRPr="00527B44">
        <w:t>:</w:t>
      </w:r>
      <w:r w:rsidR="00527B44">
        <w:t>1-4</w:t>
      </w:r>
      <w:r w:rsidR="00E57D8F">
        <w:t xml:space="preserve"> (Bisbey-Kuehn). </w:t>
      </w:r>
      <w:bookmarkEnd w:id="24"/>
    </w:p>
    <w:bookmarkEnd w:id="23"/>
    <w:p w14:paraId="681B4325" w14:textId="2F3956DA" w:rsidR="00BB6816" w:rsidRDefault="008D3A1C" w:rsidP="008D3A1C">
      <w:pPr>
        <w:pStyle w:val="ListParagraph"/>
        <w:numPr>
          <w:ilvl w:val="0"/>
          <w:numId w:val="2"/>
        </w:numPr>
        <w:spacing w:after="0" w:line="480" w:lineRule="auto"/>
        <w:ind w:left="0" w:firstLine="720"/>
        <w:jc w:val="both"/>
      </w:pPr>
      <w:r>
        <w:t>The Department</w:t>
      </w:r>
      <w:r w:rsidR="00BB6816">
        <w:t xml:space="preserve"> employed two methods to calculate the value per well.  The first method </w:t>
      </w:r>
      <w:bookmarkStart w:id="25" w:name="_bookmark1"/>
      <w:bookmarkStart w:id="26" w:name="_bookmark0"/>
      <w:bookmarkEnd w:id="25"/>
      <w:bookmarkEnd w:id="26"/>
      <w:r w:rsidR="00BB6816">
        <w:t xml:space="preserve">estimated average revenue per well for each owner/operator by dividing </w:t>
      </w:r>
      <w:r w:rsidR="00910DAC">
        <w:t>t</w:t>
      </w:r>
      <w:r w:rsidR="00BB6816">
        <w:t xml:space="preserve">he global ultimate parent revenues associated with the owner/operator by the total number of wells reported in the Go-Tech data for that owner/operator.  </w:t>
      </w:r>
      <w:r w:rsidR="00BB6816" w:rsidRPr="008D3A1C">
        <w:rPr>
          <w:b/>
          <w:bCs/>
          <w:i/>
          <w:iCs/>
        </w:rPr>
        <w:t>Id</w:t>
      </w:r>
      <w:r w:rsidR="00BB6816">
        <w:t>. at 8:14-16.</w:t>
      </w:r>
      <w:r w:rsidR="009E6D4C">
        <w:t xml:space="preserve">  </w:t>
      </w:r>
      <w:r w:rsidR="00BB6816">
        <w:t xml:space="preserve">The Department noted that global ultimate parent revenue per well </w:t>
      </w:r>
      <w:r w:rsidR="009E6D4C">
        <w:t xml:space="preserve">can be </w:t>
      </w:r>
      <w:r w:rsidR="00BB6816">
        <w:t xml:space="preserve">highly variable. </w:t>
      </w:r>
      <w:r w:rsidR="00BB6816" w:rsidRPr="008D3A1C">
        <w:rPr>
          <w:b/>
          <w:bCs/>
        </w:rPr>
        <w:t>NMED Ex. 102</w:t>
      </w:r>
      <w:r w:rsidR="00BB6816" w:rsidRPr="00BB6816">
        <w:t xml:space="preserve"> at </w:t>
      </w:r>
      <w:r w:rsidR="009E6D4C">
        <w:t xml:space="preserve">9:4-5 </w:t>
      </w:r>
      <w:r w:rsidR="00BB6816" w:rsidRPr="00BB6816">
        <w:t>(Day/Bisbey-Kuehn).</w:t>
      </w:r>
    </w:p>
    <w:p w14:paraId="63C6A726" w14:textId="446EB1C0" w:rsidR="009E6D4C" w:rsidRDefault="009E6D4C" w:rsidP="009E6D4C">
      <w:pPr>
        <w:pStyle w:val="ListParagraph"/>
        <w:numPr>
          <w:ilvl w:val="0"/>
          <w:numId w:val="2"/>
        </w:numPr>
        <w:spacing w:after="0" w:line="480" w:lineRule="auto"/>
        <w:ind w:left="0" w:firstLine="720"/>
        <w:jc w:val="both"/>
      </w:pPr>
      <w:r>
        <w:t xml:space="preserve">Under the second method, the Department </w:t>
      </w:r>
      <w:r w:rsidRPr="009E6D4C">
        <w:t>estimated the average value of the oil and gas production per well for each owner/operator.</w:t>
      </w:r>
      <w:r>
        <w:t xml:space="preserve">  </w:t>
      </w:r>
      <w:r w:rsidRPr="00BB6816">
        <w:rPr>
          <w:b/>
          <w:bCs/>
        </w:rPr>
        <w:t>NMED Ex. 102</w:t>
      </w:r>
      <w:r w:rsidRPr="00BB6816">
        <w:t xml:space="preserve"> at </w:t>
      </w:r>
      <w:r>
        <w:t xml:space="preserve">9:11-12 </w:t>
      </w:r>
      <w:r w:rsidRPr="00BB6816">
        <w:t>(Day/Bisbey-Kuehn).</w:t>
      </w:r>
      <w:r>
        <w:t xml:space="preserve">  Using dollars per barrel (BBLS) and dollars per million BTU (MMBTU) for gas, the Department calculated the average value of the production from wells of each type per owner/operator.  </w:t>
      </w:r>
      <w:r w:rsidRPr="009E6D4C">
        <w:rPr>
          <w:b/>
          <w:bCs/>
          <w:i/>
          <w:iCs/>
        </w:rPr>
        <w:t>Id</w:t>
      </w:r>
      <w:r>
        <w:t xml:space="preserve">. at 9:13-15. </w:t>
      </w:r>
    </w:p>
    <w:p w14:paraId="65A5D9A1" w14:textId="530C05F2" w:rsidR="00636142" w:rsidRDefault="00636142" w:rsidP="00636142">
      <w:pPr>
        <w:pStyle w:val="ListParagraph"/>
        <w:numPr>
          <w:ilvl w:val="0"/>
          <w:numId w:val="2"/>
        </w:numPr>
        <w:spacing w:after="0" w:line="480" w:lineRule="auto"/>
        <w:ind w:left="0" w:firstLine="720"/>
        <w:jc w:val="both"/>
      </w:pPr>
      <w:r>
        <w:t xml:space="preserve">The Department </w:t>
      </w:r>
      <w:r w:rsidR="005F413C">
        <w:t>proposed</w:t>
      </w:r>
      <w:r>
        <w:t xml:space="preserve"> $250,000 as the revenue threshold to meet the small business definition. </w:t>
      </w:r>
      <w:r w:rsidRPr="002A32B2">
        <w:rPr>
          <w:b/>
          <w:bCs/>
        </w:rPr>
        <w:t>NMED Ex. 102</w:t>
      </w:r>
      <w:r w:rsidRPr="002A32B2">
        <w:t xml:space="preserve"> at </w:t>
      </w:r>
      <w:r>
        <w:t xml:space="preserve">12:14-15 </w:t>
      </w:r>
      <w:r w:rsidRPr="002A32B2">
        <w:t xml:space="preserve">(Day/Bisbey-Kuehn).  </w:t>
      </w:r>
    </w:p>
    <w:p w14:paraId="2668A1B5" w14:textId="1015F29F" w:rsidR="00636142" w:rsidRDefault="00D31A8B" w:rsidP="00D06211">
      <w:pPr>
        <w:pStyle w:val="ListParagraph"/>
        <w:numPr>
          <w:ilvl w:val="0"/>
          <w:numId w:val="2"/>
        </w:numPr>
        <w:spacing w:after="0" w:line="480" w:lineRule="auto"/>
        <w:ind w:left="0" w:firstLine="720"/>
        <w:jc w:val="both"/>
      </w:pPr>
      <w:r>
        <w:t>T</w:t>
      </w:r>
      <w:r w:rsidR="002A32B2">
        <w:t>he Department propose</w:t>
      </w:r>
      <w:r w:rsidR="005F413C">
        <w:t>d</w:t>
      </w:r>
      <w:r w:rsidR="002A32B2">
        <w:t xml:space="preserve"> that an owner or operator of a facility that meets the definition of a small business facility must comply with Sections 111 and 125. </w:t>
      </w:r>
      <w:r w:rsidR="002A32B2" w:rsidRPr="002A32B2">
        <w:rPr>
          <w:b/>
          <w:bCs/>
        </w:rPr>
        <w:t>NMED Ex. 102</w:t>
      </w:r>
      <w:r w:rsidR="002A32B2" w:rsidRPr="002A32B2">
        <w:t xml:space="preserve"> at </w:t>
      </w:r>
      <w:r w:rsidR="002A32B2">
        <w:t>10:16-17</w:t>
      </w:r>
      <w:r w:rsidR="002A32B2" w:rsidRPr="002A32B2">
        <w:t xml:space="preserve"> (Day/Bisbey-Kuehn).  </w:t>
      </w:r>
    </w:p>
    <w:p w14:paraId="000CECCC" w14:textId="3E0678AD" w:rsidR="00BB6816" w:rsidRDefault="00D31A8B" w:rsidP="00D06211">
      <w:pPr>
        <w:pStyle w:val="ListParagraph"/>
        <w:numPr>
          <w:ilvl w:val="0"/>
          <w:numId w:val="2"/>
        </w:numPr>
        <w:spacing w:after="0" w:line="480" w:lineRule="auto"/>
        <w:ind w:left="0" w:firstLine="720"/>
        <w:jc w:val="both"/>
      </w:pPr>
      <w:r>
        <w:t>NMED</w:t>
      </w:r>
      <w:r w:rsidR="003646C2">
        <w:t>’s</w:t>
      </w:r>
      <w:r>
        <w:t xml:space="preserve"> proposed </w:t>
      </w:r>
      <w:r w:rsidR="00775ED0">
        <w:t xml:space="preserve">Section 125 requires that small business facilities operate equipment based on manufacturer specifications, maintain a database of VOC and NOx emissions, are subject to the reporting requirements in Section 112 and the fugitive leak monitoring </w:t>
      </w:r>
      <w:r w:rsidR="00775ED0">
        <w:lastRenderedPageBreak/>
        <w:t xml:space="preserve">requirements in Section 116, and must file an annual certification stating that it meets the definition of a small business facility. </w:t>
      </w:r>
      <w:r w:rsidR="00775ED0" w:rsidRPr="00775ED0">
        <w:rPr>
          <w:b/>
          <w:bCs/>
        </w:rPr>
        <w:t>IPANM Ex. 10</w:t>
      </w:r>
      <w:r w:rsidR="00775ED0" w:rsidRPr="00775ED0">
        <w:t xml:space="preserve"> at </w:t>
      </w:r>
      <w:r w:rsidR="00775ED0">
        <w:t>25:1-10</w:t>
      </w:r>
      <w:r w:rsidR="00775ED0" w:rsidRPr="00775ED0">
        <w:t xml:space="preserve"> (Davis Rebuttal).</w:t>
      </w:r>
    </w:p>
    <w:p w14:paraId="597D231A" w14:textId="35096B05" w:rsidR="006C7B2A" w:rsidRDefault="00B7753D" w:rsidP="00D06211">
      <w:pPr>
        <w:pStyle w:val="ListParagraph"/>
        <w:numPr>
          <w:ilvl w:val="0"/>
          <w:numId w:val="2"/>
        </w:numPr>
        <w:spacing w:after="0" w:line="480" w:lineRule="auto"/>
        <w:ind w:left="0" w:firstLine="720"/>
        <w:jc w:val="both"/>
      </w:pPr>
      <w:r>
        <w:t>NMED explained that its</w:t>
      </w:r>
      <w:r w:rsidR="006C7B2A">
        <w:t xml:space="preserve"> definition of a small business facility was developed to recognize the unique challenges that smaller independent operators may face in determining applicability of complex regulations and financing the initial and ongoing costs of compliance with Part 50. </w:t>
      </w:r>
      <w:r w:rsidR="006C7B2A" w:rsidRPr="002A32B2">
        <w:rPr>
          <w:b/>
          <w:bCs/>
        </w:rPr>
        <w:t>NMED Ex. 102</w:t>
      </w:r>
      <w:r w:rsidR="006C7B2A" w:rsidRPr="002A32B2">
        <w:t xml:space="preserve"> at </w:t>
      </w:r>
      <w:r w:rsidR="006C7B2A">
        <w:t>10:20-23</w:t>
      </w:r>
      <w:r w:rsidR="006C7B2A" w:rsidRPr="002A32B2">
        <w:t xml:space="preserve"> (Day/Bisbey-Kuehn).  </w:t>
      </w:r>
    </w:p>
    <w:p w14:paraId="3431CB43" w14:textId="253A0E4B" w:rsidR="006C7B2A" w:rsidRDefault="002C2861" w:rsidP="00D06211">
      <w:pPr>
        <w:pStyle w:val="ListParagraph"/>
        <w:numPr>
          <w:ilvl w:val="0"/>
          <w:numId w:val="2"/>
        </w:numPr>
        <w:spacing w:after="0" w:line="480" w:lineRule="auto"/>
        <w:ind w:left="0" w:firstLine="720"/>
        <w:jc w:val="both"/>
      </w:pPr>
      <w:r>
        <w:t xml:space="preserve">Accordingly, </w:t>
      </w:r>
      <w:r w:rsidR="005F413C">
        <w:t xml:space="preserve">15% </w:t>
      </w:r>
      <w:r>
        <w:t xml:space="preserve">percent of companies, or 82 out of a total of 535 companies, would be considered small business facilities. </w:t>
      </w:r>
      <w:r w:rsidRPr="002C2861">
        <w:rPr>
          <w:b/>
          <w:bCs/>
          <w:i/>
          <w:iCs/>
        </w:rPr>
        <w:t>Id</w:t>
      </w:r>
      <w:r>
        <w:t xml:space="preserve">. at 12:19-22.  </w:t>
      </w:r>
      <w:r w:rsidR="00636142">
        <w:t>The Department</w:t>
      </w:r>
      <w:r>
        <w:t xml:space="preserve"> also calculated that the cost of compliance for a small business facility at 2.6% of total revenue. </w:t>
      </w:r>
      <w:r w:rsidRPr="00EE7F7D">
        <w:rPr>
          <w:b/>
          <w:bCs/>
          <w:i/>
          <w:iCs/>
        </w:rPr>
        <w:t>Id</w:t>
      </w:r>
      <w:r>
        <w:t>. at 13:</w:t>
      </w:r>
      <w:r w:rsidR="00EE7F7D">
        <w:t xml:space="preserve">5-7. </w:t>
      </w:r>
      <w:r w:rsidR="00E57D8F">
        <w:t xml:space="preserve">“The proposed thresholds were chosen because the data compiled by ERG indicated that those thresholds balanced the cost of compliance with Part 50 against the company’s ability to finance the costs of compliance and would not put the majority of companies at risk of becoming insolvent and therefore cause wells to be abandoned without remediation.” </w:t>
      </w:r>
      <w:r w:rsidR="00E57D8F" w:rsidRPr="00E57D8F">
        <w:t>Tr. Vol. 3, 8</w:t>
      </w:r>
      <w:r w:rsidR="00E57D8F">
        <w:t>80</w:t>
      </w:r>
      <w:r w:rsidR="00E57D8F" w:rsidRPr="00E57D8F">
        <w:t>:</w:t>
      </w:r>
      <w:r w:rsidR="00E57D8F">
        <w:t>22-881:3</w:t>
      </w:r>
      <w:r w:rsidR="00E57D8F" w:rsidRPr="00E57D8F">
        <w:t xml:space="preserve"> (Bisbey-Kuehn).</w:t>
      </w:r>
    </w:p>
    <w:p w14:paraId="08782C76" w14:textId="455B6D91" w:rsidR="00F0313A" w:rsidRDefault="00F0313A" w:rsidP="00F0313A">
      <w:pPr>
        <w:pStyle w:val="ListParagraph"/>
        <w:numPr>
          <w:ilvl w:val="0"/>
          <w:numId w:val="2"/>
        </w:numPr>
        <w:spacing w:after="0" w:line="480" w:lineRule="auto"/>
        <w:ind w:left="0" w:firstLine="720"/>
        <w:jc w:val="both"/>
      </w:pPr>
      <w:r>
        <w:t xml:space="preserve">The Department further explained that three criteria were developed to distinguish small and large companies: ownership structure, total number of staff employed, and annual revenue. </w:t>
      </w:r>
      <w:r w:rsidRPr="002A32B2">
        <w:rPr>
          <w:b/>
          <w:bCs/>
        </w:rPr>
        <w:t>NMED Ex. 102</w:t>
      </w:r>
      <w:r w:rsidRPr="002A32B2">
        <w:t xml:space="preserve"> at </w:t>
      </w:r>
      <w:r>
        <w:t xml:space="preserve">13:15-14:15 </w:t>
      </w:r>
      <w:r w:rsidRPr="002A32B2">
        <w:t xml:space="preserve">(Day/Bisbey-Kuehn).  </w:t>
      </w:r>
      <w:r>
        <w:t xml:space="preserve">The Department </w:t>
      </w:r>
      <w:r w:rsidR="00B7753D">
        <w:t>was</w:t>
      </w:r>
      <w:r>
        <w:t xml:space="preserve"> unclear as to when the certification for annual revenue becomes applicable.  </w:t>
      </w:r>
      <w:r w:rsidRPr="00A11AB0">
        <w:t>Tr. Vol. 3, 88</w:t>
      </w:r>
      <w:r>
        <w:t>9:18-25</w:t>
      </w:r>
      <w:r w:rsidRPr="00A11AB0">
        <w:t xml:space="preserve"> (Bisbey-Kuehn).  </w:t>
      </w:r>
    </w:p>
    <w:p w14:paraId="1FA7EE92" w14:textId="5F8729D7" w:rsidR="00F0313A" w:rsidRDefault="00B7753D" w:rsidP="00F0313A">
      <w:pPr>
        <w:pStyle w:val="ListParagraph"/>
        <w:numPr>
          <w:ilvl w:val="0"/>
          <w:numId w:val="2"/>
        </w:numPr>
        <w:spacing w:after="0" w:line="480" w:lineRule="auto"/>
        <w:ind w:left="0" w:firstLine="720"/>
        <w:jc w:val="both"/>
      </w:pPr>
      <w:r>
        <w:t xml:space="preserve">NMED testified that </w:t>
      </w:r>
      <w:r w:rsidR="00F0313A">
        <w:t xml:space="preserve">82 companies that operate 4,500 wells would qualify as a small business facility, 15 percent of the total companies subject to Part 50 are considered owners or operators of small business facilities, and 9 percent of the total wells would be considered small business facilities. </w:t>
      </w:r>
      <w:r w:rsidR="00F0313A" w:rsidRPr="00E57D8F">
        <w:t>Tr. Vol. 3, 8</w:t>
      </w:r>
      <w:r w:rsidR="00F0313A">
        <w:t>82:25-883:6</w:t>
      </w:r>
      <w:r w:rsidR="00F0313A" w:rsidRPr="00E57D8F">
        <w:t xml:space="preserve"> (Bisbey-Kuehn).</w:t>
      </w:r>
      <w:r w:rsidR="00F0313A">
        <w:t xml:space="preserve"> Part 50 would cost companies </w:t>
      </w:r>
      <w:r w:rsidR="00F0313A">
        <w:lastRenderedPageBreak/>
        <w:t xml:space="preserve">approximately 2.6% of total revenue to comply.  </w:t>
      </w:r>
      <w:r w:rsidR="00F0313A" w:rsidRPr="00E57D8F">
        <w:t>Tr. Vol. 3, 8</w:t>
      </w:r>
      <w:r w:rsidR="00F0313A">
        <w:t>83:15-17</w:t>
      </w:r>
      <w:r w:rsidR="00F0313A" w:rsidRPr="00E57D8F">
        <w:t xml:space="preserve"> (Bisbey-Kuehn).</w:t>
      </w:r>
      <w:r w:rsidR="00F0313A">
        <w:t xml:space="preserve">  The estimated</w:t>
      </w:r>
      <w:r w:rsidR="0072414A">
        <w:t xml:space="preserve"> annual average of the</w:t>
      </w:r>
      <w:r w:rsidR="00F0313A">
        <w:t xml:space="preserve"> cost of compliance </w:t>
      </w:r>
      <w:r>
        <w:t>was</w:t>
      </w:r>
      <w:r w:rsidR="00F0313A">
        <w:t xml:space="preserve"> $37,945.00. </w:t>
      </w:r>
      <w:r w:rsidR="00F0313A" w:rsidRPr="00E57D8F">
        <w:t>Tr. Vol. 3, 8</w:t>
      </w:r>
      <w:r w:rsidR="00F0313A">
        <w:t>83:18-21</w:t>
      </w:r>
      <w:r w:rsidR="00F0313A" w:rsidRPr="00E57D8F">
        <w:t xml:space="preserve"> (Bisbey-Kuehn)</w:t>
      </w:r>
      <w:r w:rsidR="0072414A">
        <w:t xml:space="preserve">; </w:t>
      </w:r>
      <w:r w:rsidR="0072414A" w:rsidRPr="002A32B2">
        <w:rPr>
          <w:b/>
          <w:bCs/>
        </w:rPr>
        <w:t>NMED Ex. 102</w:t>
      </w:r>
      <w:r w:rsidR="0072414A" w:rsidRPr="002A32B2">
        <w:t xml:space="preserve"> at </w:t>
      </w:r>
      <w:r w:rsidR="0072414A">
        <w:t xml:space="preserve">11:18-20 </w:t>
      </w:r>
      <w:r w:rsidR="0072414A" w:rsidRPr="002A32B2">
        <w:t>(Day/Bisbey-Kuehn)</w:t>
      </w:r>
      <w:r w:rsidR="00F0313A" w:rsidRPr="00E57D8F">
        <w:t>.</w:t>
      </w:r>
    </w:p>
    <w:p w14:paraId="53F6E30E" w14:textId="2D188998" w:rsidR="00F0313A" w:rsidRDefault="00F0313A" w:rsidP="00F0313A">
      <w:pPr>
        <w:pStyle w:val="ListParagraph"/>
        <w:numPr>
          <w:ilvl w:val="0"/>
          <w:numId w:val="2"/>
        </w:numPr>
        <w:spacing w:after="0" w:line="480" w:lineRule="auto"/>
        <w:ind w:left="0" w:firstLine="720"/>
        <w:jc w:val="both"/>
      </w:pPr>
      <w:r>
        <w:t>Accordingly, the Department propose</w:t>
      </w:r>
      <w:r w:rsidR="00A16A9D">
        <w:t>d</w:t>
      </w:r>
      <w:r>
        <w:t xml:space="preserve"> that owners/operators of small business facilities comply with emission reductions, monitoring, and operational requirements under Sections 111 and 125.  In addition, small business facilities are to conduct fugitive leak monitoring in Section 116(C) and (D). </w:t>
      </w:r>
      <w:r w:rsidRPr="0066754A">
        <w:rPr>
          <w:b/>
          <w:bCs/>
        </w:rPr>
        <w:t>NMED Ex. 102</w:t>
      </w:r>
      <w:r w:rsidRPr="0066754A">
        <w:t xml:space="preserve"> at </w:t>
      </w:r>
      <w:r>
        <w:t xml:space="preserve">15:1-23 </w:t>
      </w:r>
      <w:r w:rsidRPr="0066754A">
        <w:t xml:space="preserve">(Day/Bisbey-Kuehn).  </w:t>
      </w:r>
    </w:p>
    <w:p w14:paraId="2BDA4043" w14:textId="6DA82A2F" w:rsidR="00F0313A" w:rsidRDefault="00F0313A" w:rsidP="00F0313A">
      <w:pPr>
        <w:pStyle w:val="ListParagraph"/>
        <w:numPr>
          <w:ilvl w:val="0"/>
          <w:numId w:val="2"/>
        </w:numPr>
        <w:spacing w:after="0" w:line="480" w:lineRule="auto"/>
        <w:ind w:left="0" w:firstLine="720"/>
        <w:jc w:val="both"/>
      </w:pPr>
      <w:r>
        <w:t>Under the small business facility exception, “</w:t>
      </w:r>
      <w:r w:rsidRPr="00EE7F7D">
        <w:t>the Department is rightsizing the rule to require robust equipment and emission monitoring for smaller, independent operations, while simultaneously balancing those requirements against the unintended negative environmental consequences resulting from early abandonment.</w:t>
      </w:r>
      <w:r>
        <w:t xml:space="preserve">” </w:t>
      </w:r>
      <w:r w:rsidRPr="002A32B2">
        <w:rPr>
          <w:b/>
          <w:bCs/>
        </w:rPr>
        <w:t>NMED Ex. 102</w:t>
      </w:r>
      <w:r w:rsidRPr="002A32B2">
        <w:t xml:space="preserve"> at </w:t>
      </w:r>
      <w:r>
        <w:t xml:space="preserve">14:12-15 </w:t>
      </w:r>
      <w:r w:rsidRPr="002A32B2">
        <w:t xml:space="preserve">(Day/Bisbey-Kuehn).  </w:t>
      </w:r>
    </w:p>
    <w:p w14:paraId="5487D7F0" w14:textId="76594932" w:rsidR="00F0313A" w:rsidRDefault="00174091" w:rsidP="00D06211">
      <w:pPr>
        <w:pStyle w:val="ListParagraph"/>
        <w:numPr>
          <w:ilvl w:val="0"/>
          <w:numId w:val="2"/>
        </w:numPr>
        <w:spacing w:after="0" w:line="480" w:lineRule="auto"/>
        <w:ind w:left="0" w:firstLine="720"/>
        <w:jc w:val="both"/>
      </w:pPr>
      <w:r>
        <w:t xml:space="preserve">While the Department’s $250,000 gross revenue cutoff is based on an operator’s average well revenue being less than the cost of compliance, </w:t>
      </w:r>
      <w:r w:rsidR="001A22DD">
        <w:t>the Department’s objective</w:t>
      </w:r>
      <w:r>
        <w:t xml:space="preserve"> does not provide appropriate relief for small businesses or stripper wells. </w:t>
      </w:r>
      <w:r w:rsidRPr="007C28B9">
        <w:t xml:space="preserve">Tr. Vol. 3, </w:t>
      </w:r>
      <w:r w:rsidR="001A22DD">
        <w:t xml:space="preserve">900:21-23; </w:t>
      </w:r>
      <w:r>
        <w:t xml:space="preserve">902:2-9 </w:t>
      </w:r>
      <w:r w:rsidRPr="007C28B9">
        <w:t>(</w:t>
      </w:r>
      <w:r>
        <w:t>Davis</w:t>
      </w:r>
      <w:r w:rsidRPr="007C28B9">
        <w:t xml:space="preserve">).  </w:t>
      </w:r>
      <w:r w:rsidR="000370F2">
        <w:t xml:space="preserve">Low production wells and assets will suffer and incur compliance costs related to implementation of the proposed definition. </w:t>
      </w:r>
      <w:r w:rsidR="000370F2" w:rsidRPr="007C28B9">
        <w:t xml:space="preserve">Tr. Vol. </w:t>
      </w:r>
      <w:r w:rsidR="000370F2">
        <w:t>4</w:t>
      </w:r>
      <w:r w:rsidR="000370F2" w:rsidRPr="007C28B9">
        <w:t xml:space="preserve">, </w:t>
      </w:r>
      <w:r w:rsidR="000370F2">
        <w:t xml:space="preserve">988:5-12 </w:t>
      </w:r>
      <w:r w:rsidR="000370F2" w:rsidRPr="007C28B9">
        <w:t>(</w:t>
      </w:r>
      <w:r w:rsidR="000370F2">
        <w:t>Smitherman</w:t>
      </w:r>
      <w:r w:rsidR="000370F2" w:rsidRPr="007C28B9">
        <w:t xml:space="preserve">).  </w:t>
      </w:r>
    </w:p>
    <w:p w14:paraId="02ECEB6D" w14:textId="77777777" w:rsidR="001A22DD" w:rsidRDefault="00174091" w:rsidP="00D06211">
      <w:pPr>
        <w:pStyle w:val="ListParagraph"/>
        <w:numPr>
          <w:ilvl w:val="0"/>
          <w:numId w:val="2"/>
        </w:numPr>
        <w:spacing w:after="0" w:line="480" w:lineRule="auto"/>
        <w:ind w:left="0" w:firstLine="720"/>
        <w:jc w:val="both"/>
      </w:pPr>
      <w:r>
        <w:t xml:space="preserve">First, the Department’s analysis did not include costs of compliance with pneumatic controllers and pumps in Section 122. </w:t>
      </w:r>
      <w:r w:rsidR="00E00CAA" w:rsidRPr="007C28B9">
        <w:t xml:space="preserve">Tr. Vol. 3, </w:t>
      </w:r>
      <w:r w:rsidR="00E00CAA">
        <w:t xml:space="preserve">902:10-13 </w:t>
      </w:r>
      <w:r w:rsidR="00E00CAA" w:rsidRPr="007C28B9">
        <w:t>(</w:t>
      </w:r>
      <w:r w:rsidR="00E00CAA">
        <w:t>Davis</w:t>
      </w:r>
      <w:r w:rsidR="00E00CAA" w:rsidRPr="007C28B9">
        <w:t xml:space="preserve">).  </w:t>
      </w:r>
    </w:p>
    <w:p w14:paraId="4AF7429E" w14:textId="4C12CA7A" w:rsidR="009855FC" w:rsidRDefault="00E00CAA" w:rsidP="00D06211">
      <w:pPr>
        <w:pStyle w:val="ListParagraph"/>
        <w:numPr>
          <w:ilvl w:val="0"/>
          <w:numId w:val="2"/>
        </w:numPr>
        <w:spacing w:after="0" w:line="480" w:lineRule="auto"/>
        <w:ind w:left="0" w:firstLine="720"/>
        <w:jc w:val="both"/>
      </w:pPr>
      <w:r>
        <w:t xml:space="preserve">Second, while relief is provided to companies that operate a small number of wells, there are many operators that have large numbers of stripper wells and make economic decisions on a well-by-well basis; they are </w:t>
      </w:r>
      <w:r w:rsidR="001464F9">
        <w:t xml:space="preserve">unlikely </w:t>
      </w:r>
      <w:r>
        <w:t>to absorb the cost of compliance on one well if it cannot support that cost by another well’s revenue</w:t>
      </w:r>
      <w:r w:rsidR="000370F2">
        <w:t>, thereby resulting in premature abandonment</w:t>
      </w:r>
      <w:r>
        <w:t xml:space="preserve">. </w:t>
      </w:r>
      <w:r w:rsidRPr="007C28B9">
        <w:t xml:space="preserve">Tr. Vol. </w:t>
      </w:r>
      <w:r w:rsidRPr="007C28B9">
        <w:lastRenderedPageBreak/>
        <w:t xml:space="preserve">3, </w:t>
      </w:r>
      <w:r>
        <w:t xml:space="preserve">902:16-24 </w:t>
      </w:r>
      <w:r w:rsidRPr="007C28B9">
        <w:t>(</w:t>
      </w:r>
      <w:r>
        <w:t>Davis</w:t>
      </w:r>
      <w:r w:rsidRPr="007C28B9">
        <w:t>)</w:t>
      </w:r>
      <w:r w:rsidR="000370F2">
        <w:t>;</w:t>
      </w:r>
      <w:r w:rsidR="009F4DE4" w:rsidRPr="009F4DE4">
        <w:t xml:space="preserve"> </w:t>
      </w:r>
      <w:r w:rsidR="009F4DE4" w:rsidRPr="007C28B9">
        <w:t xml:space="preserve">Tr. Vol. </w:t>
      </w:r>
      <w:r w:rsidR="009F4DE4">
        <w:t>4</w:t>
      </w:r>
      <w:r w:rsidR="009F4DE4" w:rsidRPr="007C28B9">
        <w:t xml:space="preserve">, </w:t>
      </w:r>
      <w:r w:rsidR="009F4DE4">
        <w:t xml:space="preserve">990:20-24 </w:t>
      </w:r>
      <w:r w:rsidR="009F4DE4" w:rsidRPr="007C28B9">
        <w:t>(</w:t>
      </w:r>
      <w:r w:rsidR="009F4DE4">
        <w:t>Smitherman</w:t>
      </w:r>
      <w:r w:rsidR="009F4DE4" w:rsidRPr="007C28B9">
        <w:t>).</w:t>
      </w:r>
      <w:r w:rsidR="009F4DE4">
        <w:t xml:space="preserve">  </w:t>
      </w:r>
      <w:r w:rsidR="009855FC">
        <w:t xml:space="preserve">Smaller businesses have a tougher challenge when they have a larger percentage of low-rate producers in their well inventory. </w:t>
      </w:r>
      <w:r w:rsidR="009855FC" w:rsidRPr="007C28B9">
        <w:t xml:space="preserve">Tr. Vol. 3, </w:t>
      </w:r>
      <w:r w:rsidR="009855FC">
        <w:t xml:space="preserve">902:16-24 </w:t>
      </w:r>
      <w:r w:rsidR="009855FC" w:rsidRPr="007C28B9">
        <w:t>(</w:t>
      </w:r>
      <w:r w:rsidR="009855FC">
        <w:t>Davis</w:t>
      </w:r>
      <w:r w:rsidR="009855FC" w:rsidRPr="007C28B9">
        <w:t>)</w:t>
      </w:r>
      <w:r w:rsidR="009855FC">
        <w:t>;</w:t>
      </w:r>
      <w:r w:rsidR="009855FC" w:rsidRPr="009F4DE4">
        <w:t xml:space="preserve"> </w:t>
      </w:r>
      <w:r w:rsidR="009855FC" w:rsidRPr="007C28B9">
        <w:t xml:space="preserve">Tr. Vol. </w:t>
      </w:r>
      <w:r w:rsidR="009855FC">
        <w:t>4</w:t>
      </w:r>
      <w:r w:rsidR="009855FC" w:rsidRPr="007C28B9">
        <w:t xml:space="preserve">, </w:t>
      </w:r>
      <w:r w:rsidR="009855FC">
        <w:t xml:space="preserve">1003:22-24 </w:t>
      </w:r>
      <w:r w:rsidR="009855FC" w:rsidRPr="007C28B9">
        <w:t>(</w:t>
      </w:r>
      <w:r w:rsidR="009855FC">
        <w:t>Smitherman</w:t>
      </w:r>
      <w:r w:rsidR="009855FC" w:rsidRPr="007C28B9">
        <w:t>).</w:t>
      </w:r>
      <w:r w:rsidR="009855FC">
        <w:t xml:space="preserve">  </w:t>
      </w:r>
    </w:p>
    <w:p w14:paraId="0E6D7D2C" w14:textId="2F5B0A0B" w:rsidR="00174091" w:rsidRDefault="00B90881" w:rsidP="00D06211">
      <w:pPr>
        <w:pStyle w:val="ListParagraph"/>
        <w:numPr>
          <w:ilvl w:val="0"/>
          <w:numId w:val="2"/>
        </w:numPr>
        <w:spacing w:after="0" w:line="480" w:lineRule="auto"/>
        <w:ind w:left="0" w:firstLine="720"/>
        <w:jc w:val="both"/>
      </w:pPr>
      <w:r>
        <w:t xml:space="preserve">As stripper wells operate at lower pressure and lower throughput to the tank, their emissions are lower than higher-pressure type wells. </w:t>
      </w:r>
      <w:r w:rsidRPr="007C28B9">
        <w:t xml:space="preserve">Tr. Vol. 3, </w:t>
      </w:r>
      <w:r>
        <w:t xml:space="preserve">936:7-17 </w:t>
      </w:r>
      <w:r w:rsidRPr="007C28B9">
        <w:t>(</w:t>
      </w:r>
      <w:r>
        <w:t>Davis</w:t>
      </w:r>
      <w:r w:rsidRPr="007C28B9">
        <w:t>)</w:t>
      </w:r>
      <w:r w:rsidR="001E2414">
        <w:t xml:space="preserve">; </w:t>
      </w:r>
      <w:r w:rsidR="001E2414" w:rsidRPr="00711DBC">
        <w:t xml:space="preserve">Tr. Vol. 4, </w:t>
      </w:r>
      <w:r w:rsidR="001E2414">
        <w:t xml:space="preserve">1026:11-12 (Bisbey-Kuehn).  </w:t>
      </w:r>
      <w:r w:rsidR="00711DBC">
        <w:t xml:space="preserve">Stripper wells produce external benefits and costs. </w:t>
      </w:r>
      <w:r w:rsidR="00711DBC" w:rsidRPr="00711DBC">
        <w:t xml:space="preserve">Tr. Vol. 4, </w:t>
      </w:r>
      <w:r w:rsidR="00711DBC">
        <w:t xml:space="preserve">1021:10-13 </w:t>
      </w:r>
      <w:r w:rsidR="00711DBC" w:rsidRPr="00711DBC">
        <w:t xml:space="preserve">(Smitherman).  </w:t>
      </w:r>
      <w:r w:rsidR="00711DBC">
        <w:t xml:space="preserve">If external costs of a stripper well are considered when evaluating the regulatory definition of a “small business,” it is also appropriate to consider the external benefits provided by those wells.  </w:t>
      </w:r>
      <w:r w:rsidR="00711DBC" w:rsidRPr="00711DBC">
        <w:t xml:space="preserve">Tr. Vol. 4, </w:t>
      </w:r>
      <w:r w:rsidR="00711DBC">
        <w:t xml:space="preserve">1023:14-20 </w:t>
      </w:r>
      <w:r w:rsidR="00711DBC" w:rsidRPr="00711DBC">
        <w:t xml:space="preserve">(Smitherman).  </w:t>
      </w:r>
    </w:p>
    <w:p w14:paraId="09664E5D" w14:textId="4DBEEC96" w:rsidR="00E00CAA" w:rsidRDefault="00E00CAA" w:rsidP="00D06211">
      <w:pPr>
        <w:pStyle w:val="ListParagraph"/>
        <w:numPr>
          <w:ilvl w:val="0"/>
          <w:numId w:val="2"/>
        </w:numPr>
        <w:spacing w:after="0" w:line="480" w:lineRule="auto"/>
        <w:ind w:left="0" w:firstLine="720"/>
        <w:jc w:val="both"/>
      </w:pPr>
      <w:r>
        <w:t>Companies examine wells on an individual basis</w:t>
      </w:r>
      <w:r w:rsidR="009F4DE4">
        <w:t>—not on a company profit basis—</w:t>
      </w:r>
      <w:r>
        <w:t xml:space="preserve">and thousands of wells would be prematurely plugged and abandoned due to the implementation of the small business definition. </w:t>
      </w:r>
      <w:r w:rsidRPr="007C28B9">
        <w:t xml:space="preserve">Tr. Vol. 3, </w:t>
      </w:r>
      <w:r>
        <w:t xml:space="preserve">903:2-4 </w:t>
      </w:r>
      <w:r w:rsidRPr="007C28B9">
        <w:t>(</w:t>
      </w:r>
      <w:r>
        <w:t>Davis</w:t>
      </w:r>
      <w:r w:rsidRPr="007C28B9">
        <w:t>)</w:t>
      </w:r>
      <w:r w:rsidR="009F4DE4">
        <w:t xml:space="preserve">; </w:t>
      </w:r>
      <w:r w:rsidR="009F4DE4" w:rsidRPr="007C28B9">
        <w:t xml:space="preserve">Tr. Vol. </w:t>
      </w:r>
      <w:r w:rsidR="009F4DE4">
        <w:t>4</w:t>
      </w:r>
      <w:r w:rsidR="009F4DE4" w:rsidRPr="007C28B9">
        <w:t xml:space="preserve">, </w:t>
      </w:r>
      <w:r w:rsidR="009F4DE4">
        <w:t xml:space="preserve">991:4-9 </w:t>
      </w:r>
      <w:r w:rsidR="009F4DE4" w:rsidRPr="007C28B9">
        <w:t>(</w:t>
      </w:r>
      <w:r w:rsidR="009F4DE4">
        <w:t>Smitherman</w:t>
      </w:r>
      <w:r w:rsidR="009F4DE4" w:rsidRPr="007C28B9">
        <w:t>).</w:t>
      </w:r>
      <w:r w:rsidR="009855FC">
        <w:t xml:space="preserve">  </w:t>
      </w:r>
      <w:r w:rsidR="002B2D78">
        <w:t xml:space="preserve">A well is plugged and abandoned if future revenue does not justify the investment on that asset. </w:t>
      </w:r>
      <w:r w:rsidR="002B2D78" w:rsidRPr="007C28B9">
        <w:t xml:space="preserve">Tr. Vol. 3, </w:t>
      </w:r>
      <w:r w:rsidR="002B2D78">
        <w:t xml:space="preserve">938:22-938:2 </w:t>
      </w:r>
      <w:r w:rsidR="002B2D78" w:rsidRPr="007C28B9">
        <w:t>(</w:t>
      </w:r>
      <w:r w:rsidR="002B2D78">
        <w:t>Davis</w:t>
      </w:r>
      <w:r w:rsidR="002B2D78" w:rsidRPr="007C28B9">
        <w:t xml:space="preserve">).  </w:t>
      </w:r>
    </w:p>
    <w:p w14:paraId="1D511EE2" w14:textId="721639DF" w:rsidR="00E00CAA" w:rsidRDefault="00E00CAA" w:rsidP="00D06211">
      <w:pPr>
        <w:pStyle w:val="ListParagraph"/>
        <w:numPr>
          <w:ilvl w:val="0"/>
          <w:numId w:val="2"/>
        </w:numPr>
        <w:spacing w:after="0" w:line="480" w:lineRule="auto"/>
        <w:ind w:left="0" w:firstLine="720"/>
        <w:jc w:val="both"/>
      </w:pPr>
      <w:r>
        <w:t xml:space="preserve">A well’s production and </w:t>
      </w:r>
      <w:r w:rsidR="00B7753D">
        <w:t>potential to emit (“</w:t>
      </w:r>
      <w:r>
        <w:t>PTE</w:t>
      </w:r>
      <w:r w:rsidR="00B7753D">
        <w:t>”)</w:t>
      </w:r>
      <w:r>
        <w:t xml:space="preserve"> are better measures </w:t>
      </w:r>
      <w:r w:rsidR="00DE4A7C">
        <w:t xml:space="preserve">for which to base relief because operators make economic decisions on a well-by-well basis. </w:t>
      </w:r>
      <w:r w:rsidR="00DE4A7C" w:rsidRPr="007C28B9">
        <w:t xml:space="preserve">Tr. Vol. 3, </w:t>
      </w:r>
      <w:r w:rsidR="00DE4A7C">
        <w:t xml:space="preserve">903:15-20 </w:t>
      </w:r>
      <w:r w:rsidR="00DE4A7C" w:rsidRPr="007C28B9">
        <w:t>(</w:t>
      </w:r>
      <w:r w:rsidR="00DE4A7C">
        <w:t>Davis</w:t>
      </w:r>
      <w:r w:rsidR="00DE4A7C" w:rsidRPr="007C28B9">
        <w:t xml:space="preserve">).  </w:t>
      </w:r>
    </w:p>
    <w:p w14:paraId="3ADD24CC" w14:textId="18D5EAF1" w:rsidR="009D6386" w:rsidRDefault="009D6386" w:rsidP="00D06211">
      <w:pPr>
        <w:pStyle w:val="ListParagraph"/>
        <w:numPr>
          <w:ilvl w:val="0"/>
          <w:numId w:val="2"/>
        </w:numPr>
        <w:spacing w:after="0" w:line="480" w:lineRule="auto"/>
        <w:ind w:left="0" w:firstLine="720"/>
        <w:jc w:val="both"/>
      </w:pPr>
      <w:r>
        <w:t xml:space="preserve">New Mexico has approximately 31,000 stripper wells, totaling roughly 61% of wells in the state. </w:t>
      </w:r>
      <w:r w:rsidRPr="007C28B9">
        <w:t xml:space="preserve">Tr. Vol. 3, </w:t>
      </w:r>
      <w:r>
        <w:t xml:space="preserve">940:22-941:1 </w:t>
      </w:r>
      <w:r w:rsidRPr="007C28B9">
        <w:t>(</w:t>
      </w:r>
      <w:r>
        <w:t>Davis</w:t>
      </w:r>
      <w:r w:rsidRPr="007C28B9">
        <w:t>)</w:t>
      </w:r>
      <w:r w:rsidR="001E2414">
        <w:t xml:space="preserve">; </w:t>
      </w:r>
      <w:r w:rsidR="001E2414" w:rsidRPr="00711DBC">
        <w:t xml:space="preserve">Tr. Vol. 4, </w:t>
      </w:r>
      <w:r w:rsidR="001E2414">
        <w:t xml:space="preserve">1025:7-9 </w:t>
      </w:r>
      <w:r w:rsidR="001E2414" w:rsidRPr="00711DBC">
        <w:t>(</w:t>
      </w:r>
      <w:r w:rsidR="001E2414">
        <w:t>Bisbey-Kuehn</w:t>
      </w:r>
      <w:r w:rsidR="001E2414" w:rsidRPr="00711DBC">
        <w:t xml:space="preserve">).  </w:t>
      </w:r>
      <w:r w:rsidRPr="007C28B9">
        <w:t xml:space="preserve">  </w:t>
      </w:r>
    </w:p>
    <w:p w14:paraId="63A936ED" w14:textId="3BF7D420" w:rsidR="00A11AB0" w:rsidRDefault="00F54D86" w:rsidP="0066754A">
      <w:pPr>
        <w:pStyle w:val="ListParagraph"/>
        <w:numPr>
          <w:ilvl w:val="0"/>
          <w:numId w:val="2"/>
        </w:numPr>
        <w:spacing w:after="0" w:line="480" w:lineRule="auto"/>
        <w:ind w:left="0" w:firstLine="720"/>
        <w:jc w:val="both"/>
      </w:pPr>
      <w:r>
        <w:t xml:space="preserve">The ten-employee cutoff was “a starting point on this definition,” but the Department did not engage with potentially affected business when it </w:t>
      </w:r>
      <w:r w:rsidR="00434051">
        <w:t xml:space="preserve">formulated </w:t>
      </w:r>
      <w:r>
        <w:t xml:space="preserve">its small business definition.  </w:t>
      </w:r>
      <w:r w:rsidRPr="00E57D8F">
        <w:t>Tr. Vol. 3, 8</w:t>
      </w:r>
      <w:r>
        <w:t>90:17-22; 891:3-8</w:t>
      </w:r>
      <w:r w:rsidRPr="00E57D8F">
        <w:t xml:space="preserve"> (Bisbey-Kuehn).</w:t>
      </w:r>
      <w:r>
        <w:t xml:space="preserve">  The number was derived from a construction permit fee regulation.  </w:t>
      </w:r>
      <w:r w:rsidRPr="00E57D8F">
        <w:t>Tr. Vol. 3, 8</w:t>
      </w:r>
      <w:r>
        <w:t>94:5-10</w:t>
      </w:r>
      <w:r w:rsidRPr="00E57D8F">
        <w:t xml:space="preserve"> (Bisbey-Kuehn).</w:t>
      </w:r>
      <w:r>
        <w:t xml:space="preserve">  </w:t>
      </w:r>
    </w:p>
    <w:p w14:paraId="7AD7F953" w14:textId="6667EF36" w:rsidR="00F0313A" w:rsidRDefault="00F0313A" w:rsidP="00F0313A">
      <w:pPr>
        <w:pStyle w:val="ListParagraph"/>
        <w:numPr>
          <w:ilvl w:val="0"/>
          <w:numId w:val="2"/>
        </w:numPr>
        <w:spacing w:after="0" w:line="480" w:lineRule="auto"/>
        <w:ind w:left="0" w:firstLine="720"/>
        <w:jc w:val="both"/>
      </w:pPr>
      <w:r>
        <w:lastRenderedPageBreak/>
        <w:t xml:space="preserve">The ten-employee cutoff and gross income threshold are too limiting and will exclude most oil and gas operators in New Mexico. </w:t>
      </w:r>
      <w:r w:rsidRPr="006E5A83">
        <w:rPr>
          <w:b/>
          <w:bCs/>
        </w:rPr>
        <w:t>IPANM Ex. 2</w:t>
      </w:r>
      <w:r w:rsidRPr="006E5A83">
        <w:t xml:space="preserve"> at 20:7-8 (Davis Direct).</w:t>
      </w:r>
      <w:r>
        <w:t xml:space="preserve"> </w:t>
      </w:r>
    </w:p>
    <w:p w14:paraId="2FDBF018" w14:textId="119378E0" w:rsidR="00F0313A" w:rsidRDefault="00F0313A" w:rsidP="00F0313A">
      <w:pPr>
        <w:pStyle w:val="ListParagraph"/>
        <w:numPr>
          <w:ilvl w:val="0"/>
          <w:numId w:val="2"/>
        </w:numPr>
        <w:spacing w:after="0" w:line="480" w:lineRule="auto"/>
        <w:ind w:left="0" w:firstLine="720"/>
        <w:jc w:val="both"/>
      </w:pPr>
      <w:r>
        <w:t xml:space="preserve">The ten-employee cutoff excludes many of the smaller operators that need relief from some of the provisions in Part 50. </w:t>
      </w:r>
      <w:r w:rsidRPr="007C28B9">
        <w:t xml:space="preserve">Tr. Vol. 3, </w:t>
      </w:r>
      <w:r>
        <w:t xml:space="preserve">901:1-3 </w:t>
      </w:r>
      <w:r w:rsidRPr="007C28B9">
        <w:t>(</w:t>
      </w:r>
      <w:r>
        <w:t>Davis</w:t>
      </w:r>
      <w:r w:rsidRPr="007C28B9">
        <w:t xml:space="preserve">).  </w:t>
      </w:r>
    </w:p>
    <w:p w14:paraId="69B0CAE2" w14:textId="77777777" w:rsidR="00A16A9D" w:rsidRDefault="006C0CE1" w:rsidP="006C0CE1">
      <w:pPr>
        <w:pStyle w:val="ListParagraph"/>
        <w:numPr>
          <w:ilvl w:val="0"/>
          <w:numId w:val="2"/>
        </w:numPr>
        <w:spacing w:after="0" w:line="480" w:lineRule="auto"/>
        <w:ind w:left="0" w:firstLine="720"/>
        <w:jc w:val="both"/>
      </w:pPr>
      <w:r>
        <w:t xml:space="preserve">IPANM objected to the Department’s proposal because few, if any, </w:t>
      </w:r>
      <w:proofErr w:type="gramStart"/>
      <w:r>
        <w:t>oil</w:t>
      </w:r>
      <w:proofErr w:type="gramEnd"/>
      <w:r>
        <w:t xml:space="preserve"> and gas operators in New Mexico meet the definition of a small business facility. </w:t>
      </w:r>
      <w:r w:rsidRPr="006E5A83">
        <w:rPr>
          <w:b/>
          <w:bCs/>
        </w:rPr>
        <w:t xml:space="preserve">IPANM Ex. 2 </w:t>
      </w:r>
      <w:r>
        <w:t xml:space="preserve">at 20:7-8 (Davis Direct).  </w:t>
      </w:r>
    </w:p>
    <w:p w14:paraId="08F8FC2F" w14:textId="150486B7" w:rsidR="006C0CE1" w:rsidRDefault="006C0CE1" w:rsidP="006C0CE1">
      <w:pPr>
        <w:pStyle w:val="ListParagraph"/>
        <w:numPr>
          <w:ilvl w:val="0"/>
          <w:numId w:val="2"/>
        </w:numPr>
        <w:spacing w:after="0" w:line="480" w:lineRule="auto"/>
        <w:ind w:left="0" w:firstLine="720"/>
        <w:jc w:val="both"/>
      </w:pPr>
      <w:r>
        <w:t xml:space="preserve">NMOGA also contends that no oil and gas operator would qualify under the small business facility definition.  </w:t>
      </w:r>
      <w:r w:rsidRPr="00001CCC">
        <w:rPr>
          <w:b/>
          <w:bCs/>
        </w:rPr>
        <w:t>NMOGA Ex. A1</w:t>
      </w:r>
      <w:r>
        <w:t xml:space="preserve"> at 31:15-16 (Smitherman Direct). 87% of all gas wells will not be able to justify the required compliance costs and operators will be forced to shut them in. </w:t>
      </w:r>
      <w:r w:rsidRPr="00001CCC">
        <w:rPr>
          <w:b/>
          <w:bCs/>
          <w:i/>
          <w:iCs/>
        </w:rPr>
        <w:t>Id</w:t>
      </w:r>
      <w:r>
        <w:t xml:space="preserve">. at 31:18-21. </w:t>
      </w:r>
    </w:p>
    <w:p w14:paraId="23968C28" w14:textId="65F05BF5" w:rsidR="00F0313A" w:rsidRDefault="00F0313A" w:rsidP="00F0313A">
      <w:pPr>
        <w:pStyle w:val="ListParagraph"/>
        <w:numPr>
          <w:ilvl w:val="0"/>
          <w:numId w:val="2"/>
        </w:numPr>
        <w:spacing w:after="0" w:line="480" w:lineRule="auto"/>
        <w:ind w:left="0" w:firstLine="720"/>
        <w:jc w:val="both"/>
      </w:pPr>
      <w:r>
        <w:t>There are many small businesses in New Mexico that would not qualify for the small business exemption.  Many small business</w:t>
      </w:r>
      <w:r w:rsidR="00434051">
        <w:t>es</w:t>
      </w:r>
      <w:r>
        <w:t xml:space="preserve"> that operate multiple stripper wells would be affected because the cost of compliance would exceed their gross annual revenue. See </w:t>
      </w:r>
      <w:r w:rsidRPr="007C28B9">
        <w:t xml:space="preserve">Tr. Vol. 3, </w:t>
      </w:r>
      <w:r>
        <w:t xml:space="preserve">911:4-25 </w:t>
      </w:r>
      <w:r w:rsidRPr="007C28B9">
        <w:t>(</w:t>
      </w:r>
      <w:r>
        <w:t>Davis</w:t>
      </w:r>
      <w:r w:rsidRPr="007C28B9">
        <w:t xml:space="preserve">).  </w:t>
      </w:r>
    </w:p>
    <w:p w14:paraId="74A64E32" w14:textId="1373F551" w:rsidR="001A22DD" w:rsidRDefault="007448D0" w:rsidP="00F0313A">
      <w:pPr>
        <w:pStyle w:val="ListParagraph"/>
        <w:numPr>
          <w:ilvl w:val="0"/>
          <w:numId w:val="2"/>
        </w:numPr>
        <w:spacing w:after="0" w:line="480" w:lineRule="auto"/>
        <w:ind w:left="0" w:firstLine="720"/>
        <w:jc w:val="both"/>
      </w:pPr>
      <w:r>
        <w:t>T</w:t>
      </w:r>
      <w:r w:rsidR="00F0313A">
        <w:t xml:space="preserve">he </w:t>
      </w:r>
      <w:r w:rsidR="00F0313A" w:rsidRPr="006E5A83">
        <w:t>gross revenue of an oil and gas producer is tied to the price of oil and gas in the market</w:t>
      </w:r>
      <w:r>
        <w:t>.  It</w:t>
      </w:r>
      <w:r w:rsidR="00F0313A">
        <w:t xml:space="preserve"> </w:t>
      </w:r>
      <w:r w:rsidR="00F0313A" w:rsidRPr="006E5A83">
        <w:t xml:space="preserve">increases or decreases </w:t>
      </w:r>
      <w:r>
        <w:t>with</w:t>
      </w:r>
      <w:r w:rsidR="00F0313A" w:rsidRPr="006E5A83">
        <w:t xml:space="preserve"> the price of oil or gas cannot be</w:t>
      </w:r>
      <w:r w:rsidR="00F0313A">
        <w:t xml:space="preserve"> </w:t>
      </w:r>
      <w:r w:rsidR="00F0313A" w:rsidRPr="006E5A83">
        <w:t>passed on by the producer nor can an increase in cost.</w:t>
      </w:r>
      <w:r w:rsidR="00F0313A">
        <w:t xml:space="preserve">  </w:t>
      </w:r>
      <w:r w:rsidR="00F0313A" w:rsidRPr="006E5A83">
        <w:rPr>
          <w:b/>
          <w:bCs/>
        </w:rPr>
        <w:t>IPANM Ex. 2</w:t>
      </w:r>
      <w:r w:rsidR="00F0313A" w:rsidRPr="006E5A83">
        <w:t xml:space="preserve"> </w:t>
      </w:r>
      <w:r w:rsidR="00F0313A">
        <w:t xml:space="preserve">at 20:10-12 (Davis Direct). </w:t>
      </w:r>
    </w:p>
    <w:p w14:paraId="7C7EA9F5" w14:textId="5AD387C7" w:rsidR="00396FF9" w:rsidRDefault="00F0313A" w:rsidP="00F0313A">
      <w:pPr>
        <w:pStyle w:val="ListParagraph"/>
        <w:numPr>
          <w:ilvl w:val="0"/>
          <w:numId w:val="2"/>
        </w:numPr>
        <w:spacing w:after="0" w:line="480" w:lineRule="auto"/>
        <w:ind w:left="0" w:firstLine="720"/>
        <w:jc w:val="both"/>
      </w:pPr>
      <w:r>
        <w:t xml:space="preserve">The </w:t>
      </w:r>
      <w:r w:rsidRPr="006E5A83">
        <w:t xml:space="preserve">gross annual revenue is not a measure of the business’s profitability. </w:t>
      </w:r>
      <w:r w:rsidR="001A22DD" w:rsidRPr="007C28B9">
        <w:t xml:space="preserve">Tr. Vol. 3, </w:t>
      </w:r>
      <w:r w:rsidR="001A22DD">
        <w:t xml:space="preserve">901:10-14 </w:t>
      </w:r>
      <w:r w:rsidR="001A22DD" w:rsidRPr="007C28B9">
        <w:t>(</w:t>
      </w:r>
      <w:r w:rsidR="001A22DD">
        <w:t>Davis</w:t>
      </w:r>
      <w:r w:rsidR="001A22DD" w:rsidRPr="007C28B9">
        <w:t xml:space="preserve">).  </w:t>
      </w:r>
      <w:r w:rsidR="001A22DD">
        <w:t>The Department agree</w:t>
      </w:r>
      <w:r w:rsidR="007448D0">
        <w:t>d</w:t>
      </w:r>
      <w:r w:rsidR="001A22DD">
        <w:t xml:space="preserve">. </w:t>
      </w:r>
      <w:r w:rsidR="005C218E" w:rsidRPr="005C218E">
        <w:rPr>
          <w:b/>
          <w:bCs/>
        </w:rPr>
        <w:t>NMED Rebuttal Ex. 1</w:t>
      </w:r>
      <w:r w:rsidR="005C218E">
        <w:t xml:space="preserve"> at 99:1-2.  (Kuehn/Palmer Rebuttal).  </w:t>
      </w:r>
      <w:r w:rsidRPr="006E5A83">
        <w:t>The upfront costs of drilling a well and the infrastructure needed to move the product to a processing facility as well as the ongoing operating expenses are not factored into gross revenues</w:t>
      </w:r>
      <w:r w:rsidR="00396FF9">
        <w:t xml:space="preserve">.  </w:t>
      </w:r>
      <w:r w:rsidR="00396FF9" w:rsidRPr="00396FF9">
        <w:rPr>
          <w:b/>
          <w:bCs/>
        </w:rPr>
        <w:t>IPANM Ex. 2</w:t>
      </w:r>
      <w:r w:rsidR="00396FF9">
        <w:t xml:space="preserve"> </w:t>
      </w:r>
      <w:r>
        <w:t>at 20:12-15</w:t>
      </w:r>
      <w:r w:rsidR="00396FF9">
        <w:t xml:space="preserve"> (Davis Direct)</w:t>
      </w:r>
      <w:r>
        <w:t xml:space="preserve">.  </w:t>
      </w:r>
    </w:p>
    <w:p w14:paraId="396697D7" w14:textId="71F6F250" w:rsidR="00F0313A" w:rsidRDefault="00F0313A" w:rsidP="00F0313A">
      <w:pPr>
        <w:pStyle w:val="ListParagraph"/>
        <w:numPr>
          <w:ilvl w:val="0"/>
          <w:numId w:val="2"/>
        </w:numPr>
        <w:spacing w:after="0" w:line="480" w:lineRule="auto"/>
        <w:ind w:left="0" w:firstLine="720"/>
        <w:jc w:val="both"/>
      </w:pPr>
      <w:r>
        <w:lastRenderedPageBreak/>
        <w:t xml:space="preserve">In all, the variability with commodity pricing creates a lack of regulatory certainty and is not a good measure of profitability. </w:t>
      </w:r>
      <w:r w:rsidR="00396FF9" w:rsidRPr="00D758DA">
        <w:rPr>
          <w:b/>
          <w:bCs/>
        </w:rPr>
        <w:t>IPANM Ex. 10</w:t>
      </w:r>
      <w:r w:rsidR="00396FF9">
        <w:t xml:space="preserve"> at 4:2-3 (Davis Rebuttal); </w:t>
      </w:r>
      <w:r w:rsidRPr="007C28B9">
        <w:t xml:space="preserve">Tr. Vol. 3, </w:t>
      </w:r>
      <w:r>
        <w:t xml:space="preserve">901:10-14 </w:t>
      </w:r>
      <w:r w:rsidRPr="007C28B9">
        <w:t>(</w:t>
      </w:r>
      <w:r>
        <w:t>Davis</w:t>
      </w:r>
      <w:r w:rsidRPr="007C28B9">
        <w:t xml:space="preserve">).  </w:t>
      </w:r>
    </w:p>
    <w:p w14:paraId="437E3830" w14:textId="0EB75A63" w:rsidR="0043292D" w:rsidRDefault="0043292D" w:rsidP="00F0313A">
      <w:pPr>
        <w:pStyle w:val="ListParagraph"/>
        <w:numPr>
          <w:ilvl w:val="0"/>
          <w:numId w:val="2"/>
        </w:numPr>
        <w:spacing w:after="0" w:line="480" w:lineRule="auto"/>
        <w:ind w:left="0" w:firstLine="720"/>
        <w:jc w:val="both"/>
      </w:pPr>
      <w:r>
        <w:t>IPANM also identified issues related to NMED’s sole consideration of wells that could not support the cost of compliance on average</w:t>
      </w:r>
      <w:r w:rsidR="00396FF9">
        <w:t xml:space="preserve">.  </w:t>
      </w:r>
      <w:r w:rsidR="00396FF9" w:rsidRPr="00D758DA">
        <w:rPr>
          <w:b/>
          <w:bCs/>
        </w:rPr>
        <w:t>IPANM Ex. 10</w:t>
      </w:r>
      <w:r w:rsidR="00396FF9">
        <w:t xml:space="preserve"> </w:t>
      </w:r>
      <w:r>
        <w:t>at 4:5-7</w:t>
      </w:r>
      <w:r w:rsidR="00396FF9">
        <w:t xml:space="preserve"> (Davis Rebuttal)</w:t>
      </w:r>
      <w:r>
        <w:t xml:space="preserve">. In IPANM’s analysis, there is a positive correlation between the higher percentage of stripper wells and a higher percentage of gross revenue for the cost of compliance.  </w:t>
      </w:r>
      <w:r w:rsidRPr="00D758DA">
        <w:rPr>
          <w:b/>
          <w:bCs/>
          <w:i/>
          <w:iCs/>
        </w:rPr>
        <w:t>Id</w:t>
      </w:r>
      <w:r>
        <w:t xml:space="preserve">. at 4: 9-13. </w:t>
      </w:r>
      <w:r w:rsidR="008C56DD">
        <w:t>A</w:t>
      </w:r>
      <w:r>
        <w:t xml:space="preserve"> well’s production and </w:t>
      </w:r>
      <w:r w:rsidR="008C56DD">
        <w:t>PTE</w:t>
      </w:r>
      <w:r>
        <w:t xml:space="preserve"> are better measures to assure necessary relief because they are independent of commodity prices. </w:t>
      </w:r>
      <w:r w:rsidRPr="00D758DA">
        <w:rPr>
          <w:b/>
          <w:bCs/>
          <w:i/>
          <w:iCs/>
        </w:rPr>
        <w:t>Id</w:t>
      </w:r>
      <w:r>
        <w:t xml:space="preserve">. at 4:14-18.   </w:t>
      </w:r>
    </w:p>
    <w:p w14:paraId="3F8E56A5" w14:textId="4DF99092" w:rsidR="000F6E46" w:rsidRDefault="004124D3" w:rsidP="0066754A">
      <w:pPr>
        <w:pStyle w:val="ListParagraph"/>
        <w:numPr>
          <w:ilvl w:val="0"/>
          <w:numId w:val="2"/>
        </w:numPr>
        <w:spacing w:after="0" w:line="480" w:lineRule="auto"/>
        <w:ind w:left="0" w:firstLine="720"/>
        <w:jc w:val="both"/>
      </w:pPr>
      <w:r>
        <w:t xml:space="preserve">The </w:t>
      </w:r>
      <w:r w:rsidR="000F6E46">
        <w:t xml:space="preserve">Department conceded that it is amenable to adjusting or “right-sizing the definition” based on the feedback at the hearing.  </w:t>
      </w:r>
      <w:r w:rsidR="000F6E46" w:rsidRPr="000F6E46">
        <w:rPr>
          <w:i/>
          <w:iCs/>
        </w:rPr>
        <w:t xml:space="preserve">See </w:t>
      </w:r>
      <w:r w:rsidR="000F6E46" w:rsidRPr="00E57D8F">
        <w:t>Tr. Vol. 3, 8</w:t>
      </w:r>
      <w:r w:rsidR="000F6E46">
        <w:t>95:16-21</w:t>
      </w:r>
      <w:r w:rsidR="000F6E46" w:rsidRPr="00E57D8F">
        <w:t xml:space="preserve"> (Bisbey-Kuehn).</w:t>
      </w:r>
      <w:r w:rsidR="000F6E46">
        <w:t xml:space="preserve">  </w:t>
      </w:r>
    </w:p>
    <w:p w14:paraId="62AA75A1" w14:textId="0F924776" w:rsidR="00E52ABE" w:rsidRDefault="00E52ABE" w:rsidP="00D06211">
      <w:pPr>
        <w:pStyle w:val="ListParagraph"/>
        <w:numPr>
          <w:ilvl w:val="0"/>
          <w:numId w:val="2"/>
        </w:numPr>
        <w:spacing w:after="0" w:line="480" w:lineRule="auto"/>
        <w:ind w:left="0" w:firstLine="720"/>
        <w:jc w:val="both"/>
      </w:pPr>
      <w:r>
        <w:t xml:space="preserve">While IPANM did not propose alternative language to the small business facility definition and requirements, </w:t>
      </w:r>
      <w:r w:rsidRPr="00E2146A">
        <w:t xml:space="preserve">it </w:t>
      </w:r>
      <w:r w:rsidR="00E2146A" w:rsidRPr="00E2146A">
        <w:t xml:space="preserve">initially recommended </w:t>
      </w:r>
      <w:r w:rsidRPr="00E2146A">
        <w:t>that 20.2.5.50.</w:t>
      </w:r>
      <w:proofErr w:type="gramStart"/>
      <w:r w:rsidRPr="00E2146A">
        <w:t>7.OO</w:t>
      </w:r>
      <w:proofErr w:type="gramEnd"/>
      <w:r w:rsidRPr="00E2146A">
        <w:t xml:space="preserve"> </w:t>
      </w:r>
      <w:r w:rsidR="007448D0">
        <w:t xml:space="preserve">and </w:t>
      </w:r>
      <w:r w:rsidRPr="00E2146A">
        <w:t xml:space="preserve">20.2.50.125 </w:t>
      </w:r>
      <w:r w:rsidR="008C56DD">
        <w:t xml:space="preserve">NMAC </w:t>
      </w:r>
      <w:r w:rsidRPr="00E2146A">
        <w:t>not be adopted</w:t>
      </w:r>
      <w:r>
        <w:t xml:space="preserve">. </w:t>
      </w:r>
      <w:r w:rsidRPr="00E52ABE">
        <w:rPr>
          <w:b/>
          <w:bCs/>
        </w:rPr>
        <w:t>IPANM Ex. 2</w:t>
      </w:r>
      <w:r w:rsidRPr="00E52ABE">
        <w:t xml:space="preserve"> at 20:</w:t>
      </w:r>
      <w:r>
        <w:t>19-22</w:t>
      </w:r>
      <w:r w:rsidRPr="00E52ABE">
        <w:t xml:space="preserve"> (Davis Direct).</w:t>
      </w:r>
      <w:r>
        <w:t xml:space="preserve">  IPANM maintain</w:t>
      </w:r>
      <w:r w:rsidR="007448D0">
        <w:t>ed</w:t>
      </w:r>
      <w:r>
        <w:t xml:space="preserve"> that the low volume and low decline rate gas wells in the San Juan Basin and across New Mexico will be unable to meet the cost of compliance.  </w:t>
      </w:r>
      <w:r w:rsidRPr="00E52ABE">
        <w:rPr>
          <w:b/>
          <w:bCs/>
          <w:i/>
          <w:iCs/>
        </w:rPr>
        <w:t>Id</w:t>
      </w:r>
      <w:r>
        <w:t>. at 21:10-12</w:t>
      </w:r>
      <w:r w:rsidR="00001CCC">
        <w:t xml:space="preserve">; </w:t>
      </w:r>
      <w:r w:rsidR="00001CCC" w:rsidRPr="00001CCC">
        <w:rPr>
          <w:b/>
          <w:bCs/>
          <w:i/>
          <w:iCs/>
        </w:rPr>
        <w:t>see also</w:t>
      </w:r>
      <w:r w:rsidR="00001CCC">
        <w:t xml:space="preserve"> </w:t>
      </w:r>
      <w:r w:rsidR="00001CCC" w:rsidRPr="00001CCC">
        <w:rPr>
          <w:b/>
          <w:bCs/>
        </w:rPr>
        <w:t>NMOGA Ex. A1</w:t>
      </w:r>
      <w:r w:rsidR="00001CCC">
        <w:t xml:space="preserve"> at 31:24-26 (Smitherman Direct)</w:t>
      </w:r>
      <w:r>
        <w:t xml:space="preserve">. </w:t>
      </w:r>
    </w:p>
    <w:p w14:paraId="2303CD66" w14:textId="6712A083" w:rsidR="0043292D" w:rsidRDefault="00396FF9" w:rsidP="00D06211">
      <w:pPr>
        <w:pStyle w:val="ListParagraph"/>
        <w:numPr>
          <w:ilvl w:val="0"/>
          <w:numId w:val="2"/>
        </w:numPr>
        <w:spacing w:after="0" w:line="480" w:lineRule="auto"/>
        <w:ind w:left="0" w:firstLine="720"/>
        <w:jc w:val="both"/>
      </w:pPr>
      <w:r>
        <w:t>The Department d</w:t>
      </w:r>
      <w:r w:rsidR="00434051">
        <w:t>id</w:t>
      </w:r>
      <w:r>
        <w:t xml:space="preserve"> </w:t>
      </w:r>
      <w:r w:rsidR="00554B27">
        <w:t xml:space="preserve">not agree to remove Section 125. </w:t>
      </w:r>
      <w:r w:rsidR="00554B27" w:rsidRPr="00554B27">
        <w:rPr>
          <w:b/>
          <w:bCs/>
        </w:rPr>
        <w:t>NMED Rebuttal Ex. 1</w:t>
      </w:r>
      <w:r w:rsidR="00554B27" w:rsidRPr="00554B27">
        <w:t xml:space="preserve"> at </w:t>
      </w:r>
      <w:r w:rsidR="00554B27">
        <w:t xml:space="preserve">99:10-11 </w:t>
      </w:r>
      <w:r w:rsidR="00554B27" w:rsidRPr="00554B27">
        <w:t>(Kuehn/Palmer Rebuttal).</w:t>
      </w:r>
      <w:r w:rsidR="00554B27">
        <w:t xml:space="preserve">  In response to IPANM’s concern that gross annual revenues are not a </w:t>
      </w:r>
      <w:r>
        <w:t xml:space="preserve">good </w:t>
      </w:r>
      <w:r w:rsidR="00554B27">
        <w:t xml:space="preserve">measure of profitability, the Department stated that EPA guidance suggests that impacts on small businesses are generally assessed by comparing direct compliance costs to revenues. </w:t>
      </w:r>
      <w:r w:rsidR="00554B27" w:rsidRPr="00554B27">
        <w:rPr>
          <w:b/>
          <w:bCs/>
          <w:i/>
          <w:iCs/>
        </w:rPr>
        <w:t>Id</w:t>
      </w:r>
      <w:r w:rsidR="00554B27">
        <w:t xml:space="preserve">. at 99:1-5. </w:t>
      </w:r>
    </w:p>
    <w:p w14:paraId="75D7D493" w14:textId="77777777" w:rsidR="00A56ADF" w:rsidRDefault="00D6440E" w:rsidP="0043292D">
      <w:pPr>
        <w:pStyle w:val="ListParagraph"/>
        <w:numPr>
          <w:ilvl w:val="0"/>
          <w:numId w:val="2"/>
        </w:numPr>
        <w:spacing w:after="0" w:line="480" w:lineRule="auto"/>
        <w:ind w:left="0" w:firstLine="720"/>
        <w:jc w:val="both"/>
      </w:pPr>
      <w:r>
        <w:lastRenderedPageBreak/>
        <w:t xml:space="preserve">However, </w:t>
      </w:r>
      <w:r w:rsidR="0043292D">
        <w:t>EPA</w:t>
      </w:r>
      <w:r>
        <w:t xml:space="preserve"> guidance is not an appropriate impact analysis for oil and gas operations in New Mexico. </w:t>
      </w:r>
      <w:r w:rsidRPr="007C28B9">
        <w:t xml:space="preserve">Tr. Vol. 3, </w:t>
      </w:r>
      <w:r>
        <w:t xml:space="preserve">908:21-24 </w:t>
      </w:r>
      <w:r w:rsidRPr="007C28B9">
        <w:t>(</w:t>
      </w:r>
      <w:r>
        <w:t>Davis</w:t>
      </w:r>
      <w:r w:rsidRPr="007C28B9">
        <w:t>).</w:t>
      </w:r>
      <w:r>
        <w:t xml:space="preserve">  </w:t>
      </w:r>
    </w:p>
    <w:p w14:paraId="18F6A75B" w14:textId="4E24D3A2" w:rsidR="0043292D" w:rsidRDefault="00D6440E" w:rsidP="0043292D">
      <w:pPr>
        <w:pStyle w:val="ListParagraph"/>
        <w:numPr>
          <w:ilvl w:val="0"/>
          <w:numId w:val="2"/>
        </w:numPr>
        <w:spacing w:after="0" w:line="480" w:lineRule="auto"/>
        <w:ind w:left="0" w:firstLine="720"/>
        <w:jc w:val="both"/>
      </w:pPr>
      <w:r>
        <w:t xml:space="preserve">The Department has admitted that gross revenues are not a good measure of profitability. </w:t>
      </w:r>
      <w:r w:rsidRPr="007C28B9">
        <w:t xml:space="preserve">Tr. Vol. 3, </w:t>
      </w:r>
      <w:r>
        <w:t xml:space="preserve">908:22-24; </w:t>
      </w:r>
      <w:r w:rsidR="00396FF9" w:rsidRPr="005C218E">
        <w:rPr>
          <w:b/>
          <w:bCs/>
        </w:rPr>
        <w:t>NMED Rebuttal Ex. 1</w:t>
      </w:r>
      <w:r w:rsidR="00396FF9">
        <w:t xml:space="preserve"> at 99:1-2.  (Kuehn/Palmer Rebuttal).</w:t>
      </w:r>
    </w:p>
    <w:p w14:paraId="28DDF016" w14:textId="7D756FA6" w:rsidR="000F6E46" w:rsidRDefault="004633D1" w:rsidP="0043292D">
      <w:pPr>
        <w:pStyle w:val="ListParagraph"/>
        <w:numPr>
          <w:ilvl w:val="0"/>
          <w:numId w:val="2"/>
        </w:numPr>
        <w:spacing w:after="0" w:line="480" w:lineRule="auto"/>
        <w:ind w:left="0" w:firstLine="720"/>
        <w:jc w:val="both"/>
      </w:pPr>
      <w:r>
        <w:t xml:space="preserve">Lastly, IPANM recommended that the </w:t>
      </w:r>
      <w:r w:rsidR="00A62BD1">
        <w:t>Board</w:t>
      </w:r>
      <w:r>
        <w:t xml:space="preserve"> consider the definition of a “small business” under the</w:t>
      </w:r>
      <w:r w:rsidR="008C56DD">
        <w:t xml:space="preserve"> New Mexico</w:t>
      </w:r>
      <w:r>
        <w:t xml:space="preserve"> Small Business Regulatory Relief Act, which “means a business entity, including its affiliates, that is independently owned and operated and employs fifty or fewer full-time employees.” </w:t>
      </w:r>
      <w:r w:rsidR="001464F9" w:rsidRPr="001464F9">
        <w:rPr>
          <w:b/>
          <w:bCs/>
        </w:rPr>
        <w:t>IPANM Ex. 10</w:t>
      </w:r>
      <w:r w:rsidR="001464F9">
        <w:t xml:space="preserve"> </w:t>
      </w:r>
      <w:r>
        <w:t>at 6:7-12</w:t>
      </w:r>
      <w:r w:rsidR="001464F9">
        <w:t xml:space="preserve"> (Davis Rebuttal)</w:t>
      </w:r>
      <w:r w:rsidR="007C28B9">
        <w:t xml:space="preserve">; </w:t>
      </w:r>
      <w:r w:rsidR="007C28B9" w:rsidRPr="007C28B9">
        <w:t xml:space="preserve">Tr. Vol. 3, </w:t>
      </w:r>
      <w:r w:rsidR="007C28B9">
        <w:t xml:space="preserve">901:3-6 </w:t>
      </w:r>
      <w:r w:rsidR="007C28B9" w:rsidRPr="007C28B9">
        <w:t>(</w:t>
      </w:r>
      <w:r w:rsidR="007C28B9">
        <w:t>Davis</w:t>
      </w:r>
      <w:r w:rsidR="007C28B9" w:rsidRPr="007C28B9">
        <w:t xml:space="preserve">).  </w:t>
      </w:r>
    </w:p>
    <w:p w14:paraId="60FB99B0" w14:textId="02DDFDE2" w:rsidR="00B97B82" w:rsidRDefault="00B97B82" w:rsidP="000F6E46">
      <w:pPr>
        <w:pStyle w:val="ListParagraph"/>
        <w:numPr>
          <w:ilvl w:val="0"/>
          <w:numId w:val="2"/>
        </w:numPr>
        <w:spacing w:after="0" w:line="480" w:lineRule="auto"/>
        <w:ind w:left="0" w:firstLine="720"/>
        <w:jc w:val="both"/>
      </w:pPr>
      <w:r>
        <w:t xml:space="preserve">The Department has stated that a 50-employee threshold is </w:t>
      </w:r>
      <w:r w:rsidR="001A02A1">
        <w:t>unacceptable, but</w:t>
      </w:r>
      <w:r>
        <w:t xml:space="preserve"> </w:t>
      </w:r>
      <w:r w:rsidR="001A02A1">
        <w:t xml:space="preserve">it </w:t>
      </w:r>
      <w:r w:rsidR="008C56DD">
        <w:t>provided</w:t>
      </w:r>
      <w:r>
        <w:t xml:space="preserve"> no reason for its assertion. </w:t>
      </w:r>
      <w:r w:rsidRPr="00B97B82">
        <w:rPr>
          <w:i/>
          <w:iCs/>
        </w:rPr>
        <w:t>See</w:t>
      </w:r>
      <w:r>
        <w:t xml:space="preserve"> </w:t>
      </w:r>
      <w:r w:rsidRPr="007C28B9">
        <w:t xml:space="preserve">Tr. Vol. 3, </w:t>
      </w:r>
      <w:r>
        <w:t xml:space="preserve">946:6-18 </w:t>
      </w:r>
      <w:r w:rsidRPr="007C28B9">
        <w:t>(</w:t>
      </w:r>
      <w:r>
        <w:t>Da</w:t>
      </w:r>
      <w:r w:rsidR="008D3A1C">
        <w:t>y</w:t>
      </w:r>
      <w:r w:rsidRPr="007C28B9">
        <w:t xml:space="preserve">).  </w:t>
      </w:r>
    </w:p>
    <w:p w14:paraId="30D18AA6" w14:textId="1D0189CE" w:rsidR="00DE4A7C" w:rsidRDefault="00DE4A7C" w:rsidP="000F6E46">
      <w:pPr>
        <w:pStyle w:val="ListParagraph"/>
        <w:numPr>
          <w:ilvl w:val="0"/>
          <w:numId w:val="2"/>
        </w:numPr>
        <w:spacing w:after="0" w:line="480" w:lineRule="auto"/>
        <w:ind w:left="0" w:firstLine="720"/>
        <w:jc w:val="both"/>
      </w:pPr>
      <w:r>
        <w:t>IPANM pointed out</w:t>
      </w:r>
      <w:r w:rsidR="00434051">
        <w:t>, and the Department recognize</w:t>
      </w:r>
      <w:r w:rsidR="007448D0">
        <w:t>d</w:t>
      </w:r>
      <w:r w:rsidR="00434051">
        <w:t>,</w:t>
      </w:r>
      <w:r>
        <w:t xml:space="preserve"> </w:t>
      </w:r>
      <w:r w:rsidR="00434051">
        <w:t xml:space="preserve">that </w:t>
      </w:r>
      <w:r>
        <w:t>requirements for proper operations and maintenance to reduce emissions, fugitive leak requirements</w:t>
      </w:r>
      <w:r w:rsidR="00D6440E">
        <w:t xml:space="preserve">, a database of VOC and NOx emissions, and Section 112 would still be </w:t>
      </w:r>
      <w:r w:rsidR="007448D0">
        <w:t>applied</w:t>
      </w:r>
      <w:r w:rsidR="00D6440E">
        <w:t xml:space="preserve">. </w:t>
      </w:r>
      <w:r w:rsidR="00D6440E" w:rsidRPr="007C28B9">
        <w:t xml:space="preserve">Tr. Vol. 3, </w:t>
      </w:r>
      <w:r w:rsidR="00D6440E">
        <w:t xml:space="preserve">905:23-906:8 </w:t>
      </w:r>
      <w:r w:rsidR="00D6440E" w:rsidRPr="007C28B9">
        <w:t>(</w:t>
      </w:r>
      <w:r w:rsidR="00D6440E">
        <w:t>Davis</w:t>
      </w:r>
      <w:r w:rsidR="00D6440E" w:rsidRPr="007C28B9">
        <w:t>)</w:t>
      </w:r>
      <w:r w:rsidR="00636142">
        <w:t xml:space="preserve">; </w:t>
      </w:r>
      <w:r w:rsidR="00636142" w:rsidRPr="00711DBC">
        <w:t xml:space="preserve">Tr. Vol. 4, </w:t>
      </w:r>
      <w:r w:rsidR="00636142">
        <w:t xml:space="preserve">1030:16-25 </w:t>
      </w:r>
      <w:r w:rsidR="00636142" w:rsidRPr="00711DBC">
        <w:t>(</w:t>
      </w:r>
      <w:r w:rsidR="00636142">
        <w:t xml:space="preserve">Bisbey-Kuehn). </w:t>
      </w:r>
      <w:r w:rsidR="00D6440E" w:rsidRPr="007C28B9">
        <w:t xml:space="preserve"> </w:t>
      </w:r>
    </w:p>
    <w:p w14:paraId="13D06BD1" w14:textId="26A6D2A5" w:rsidR="00684E0F" w:rsidRDefault="00684E0F" w:rsidP="00684E0F">
      <w:pPr>
        <w:pStyle w:val="ListParagraph"/>
        <w:numPr>
          <w:ilvl w:val="0"/>
          <w:numId w:val="2"/>
        </w:numPr>
        <w:spacing w:after="0" w:line="480" w:lineRule="auto"/>
        <w:ind w:left="0" w:firstLine="720"/>
        <w:jc w:val="both"/>
      </w:pPr>
      <w:r>
        <w:t xml:space="preserve">IPANM suggests that the definition of a “small business facility” be amended to reflect that a small business is </w:t>
      </w:r>
      <w:r w:rsidRPr="009205B5">
        <w:t>a company that is a not a subsidiary or a division of another business and</w:t>
      </w:r>
      <w:r>
        <w:t xml:space="preserve"> </w:t>
      </w:r>
      <w:r w:rsidRPr="009205B5">
        <w:t xml:space="preserve">that employs less than </w:t>
      </w:r>
      <w:r>
        <w:t xml:space="preserve">50 </w:t>
      </w:r>
      <w:r w:rsidRPr="009205B5">
        <w:t>employees at any time during the calendar year</w:t>
      </w:r>
      <w:r>
        <w:t xml:space="preserve">, and that “employees” also include contract workers. </w:t>
      </w:r>
      <w:r w:rsidRPr="001464F9">
        <w:rPr>
          <w:b/>
          <w:bCs/>
        </w:rPr>
        <w:t>IPANM Ex. 10</w:t>
      </w:r>
      <w:r>
        <w:t xml:space="preserve"> at 6:7-12 (Davis Rebuttal); </w:t>
      </w:r>
      <w:r w:rsidRPr="007C28B9">
        <w:t xml:space="preserve">Tr. Vol. 3, </w:t>
      </w:r>
      <w:r>
        <w:t xml:space="preserve">901:3-6 </w:t>
      </w:r>
      <w:r w:rsidRPr="007C28B9">
        <w:t>(</w:t>
      </w:r>
      <w:r>
        <w:t>Davis</w:t>
      </w:r>
      <w:r w:rsidRPr="007C28B9">
        <w:t xml:space="preserve">).  </w:t>
      </w:r>
    </w:p>
    <w:p w14:paraId="5CF25AC6" w14:textId="270E9CA7" w:rsidR="0043292D" w:rsidRDefault="00150DCF" w:rsidP="00DE3339">
      <w:pPr>
        <w:pStyle w:val="ListParagraph"/>
        <w:numPr>
          <w:ilvl w:val="0"/>
          <w:numId w:val="2"/>
        </w:numPr>
        <w:spacing w:after="0" w:line="480" w:lineRule="auto"/>
        <w:ind w:left="0" w:firstLine="720"/>
        <w:jc w:val="both"/>
      </w:pPr>
      <w:r>
        <w:t>IPANM supports reducing the requirements applicable to small businesses</w:t>
      </w:r>
      <w:r w:rsidR="006C0CE1">
        <w:t xml:space="preserve"> and notes that </w:t>
      </w:r>
      <w:r>
        <w:t xml:space="preserve">the requirements are not a complete exemption of the wells subject to the provision. </w:t>
      </w:r>
      <w:r w:rsidRPr="00DE3339">
        <w:rPr>
          <w:b/>
          <w:bCs/>
        </w:rPr>
        <w:t>IPANM Ex. 10</w:t>
      </w:r>
      <w:r w:rsidRPr="00150DCF">
        <w:t xml:space="preserve"> at </w:t>
      </w:r>
      <w:r>
        <w:t xml:space="preserve">26:2-4 </w:t>
      </w:r>
      <w:r w:rsidRPr="00150DCF">
        <w:t>(Davis Rebuttal).</w:t>
      </w:r>
      <w:r>
        <w:t xml:space="preserve">  </w:t>
      </w:r>
    </w:p>
    <w:p w14:paraId="0CA4E589" w14:textId="40609E01" w:rsidR="00E2146A" w:rsidRDefault="008C56DD" w:rsidP="00DE3339">
      <w:pPr>
        <w:pStyle w:val="ListParagraph"/>
        <w:numPr>
          <w:ilvl w:val="0"/>
          <w:numId w:val="2"/>
        </w:numPr>
        <w:spacing w:after="0" w:line="480" w:lineRule="auto"/>
        <w:ind w:left="0" w:firstLine="720"/>
        <w:jc w:val="both"/>
      </w:pPr>
      <w:r>
        <w:lastRenderedPageBreak/>
        <w:t>NMED</w:t>
      </w:r>
      <w:r w:rsidR="001A02A1">
        <w:t>’s</w:t>
      </w:r>
      <w:r>
        <w:t xml:space="preserve"> proposed</w:t>
      </w:r>
      <w:r w:rsidR="00E2146A">
        <w:t xml:space="preserve"> </w:t>
      </w:r>
      <w:r w:rsidR="007448D0">
        <w:t>20.2.50.</w:t>
      </w:r>
      <w:r w:rsidR="00E2146A">
        <w:t xml:space="preserve">125(G) </w:t>
      </w:r>
      <w:r>
        <w:t xml:space="preserve">NMAC </w:t>
      </w:r>
      <w:r w:rsidR="00E2146A">
        <w:t>states that a</w:t>
      </w:r>
      <w:r w:rsidR="00E2146A" w:rsidRPr="00E2146A">
        <w:t xml:space="preserve"> source that meets the definition of a small business facility can be required to comply with the other </w:t>
      </w:r>
      <w:r w:rsidR="007448D0">
        <w:t>s</w:t>
      </w:r>
      <w:r w:rsidR="00E2146A" w:rsidRPr="00E2146A">
        <w:t>ections of 20.2.50 NMAC if the Secretary finds based on credible evidence that the source (1) presents an imminent and substantial endangerment to the public health or welfare or to the environment; (2) is not being operated or maintained in a manner that minimizes emissions of air contaminants; or (3) has violated any other requirement of 20.2.50.125 NMAC.</w:t>
      </w:r>
      <w:r w:rsidR="00E2146A">
        <w:t xml:space="preserve"> </w:t>
      </w:r>
      <w:r w:rsidR="009205B5" w:rsidRPr="009205B5">
        <w:rPr>
          <w:b/>
          <w:bCs/>
        </w:rPr>
        <w:t>NMED Ex. 102</w:t>
      </w:r>
      <w:r w:rsidR="009205B5">
        <w:t xml:space="preserve"> at 15 (Day/Kuehn).  </w:t>
      </w:r>
    </w:p>
    <w:p w14:paraId="581F845F" w14:textId="3591C859" w:rsidR="00E2146A" w:rsidRDefault="00E2146A" w:rsidP="00DE3339">
      <w:pPr>
        <w:pStyle w:val="ListParagraph"/>
        <w:numPr>
          <w:ilvl w:val="0"/>
          <w:numId w:val="2"/>
        </w:numPr>
        <w:spacing w:after="0" w:line="480" w:lineRule="auto"/>
        <w:ind w:left="0" w:firstLine="720"/>
        <w:jc w:val="both"/>
      </w:pPr>
      <w:r>
        <w:t xml:space="preserve">The Department explained that </w:t>
      </w:r>
      <w:r w:rsidR="007448D0">
        <w:t>proposed 20.2.50.</w:t>
      </w:r>
      <w:r>
        <w:t xml:space="preserve">125(G) </w:t>
      </w:r>
      <w:r w:rsidRPr="00E2146A">
        <w:t>incentivizes owners and operators of small business facilities to comply with 20.2.50.125 providing for an applicability onramp for the other sections of Part 50 if they fail to do so.</w:t>
      </w:r>
      <w:r>
        <w:t xml:space="preserve"> </w:t>
      </w:r>
      <w:r w:rsidRPr="009205B5">
        <w:rPr>
          <w:b/>
          <w:bCs/>
        </w:rPr>
        <w:t>NMED Ex. 102</w:t>
      </w:r>
      <w:r>
        <w:t xml:space="preserve"> at 15 (Day/Kuehn).  </w:t>
      </w:r>
    </w:p>
    <w:p w14:paraId="30547F38" w14:textId="48129486" w:rsidR="006C0CE1" w:rsidRDefault="006C0CE1" w:rsidP="00DE3339">
      <w:pPr>
        <w:pStyle w:val="ListParagraph"/>
        <w:numPr>
          <w:ilvl w:val="0"/>
          <w:numId w:val="2"/>
        </w:numPr>
        <w:spacing w:after="0" w:line="480" w:lineRule="auto"/>
        <w:ind w:left="0" w:firstLine="720"/>
        <w:jc w:val="both"/>
      </w:pPr>
      <w:r>
        <w:t xml:space="preserve">The record, however, contains no support as to how </w:t>
      </w:r>
      <w:r w:rsidR="007448D0">
        <w:t>proposed 20.2.50.</w:t>
      </w:r>
      <w:r>
        <w:t xml:space="preserve">125(G) </w:t>
      </w:r>
      <w:r w:rsidR="008C56DD">
        <w:t xml:space="preserve">NMAC </w:t>
      </w:r>
      <w:r>
        <w:t>provides an applicability on</w:t>
      </w:r>
      <w:r w:rsidR="007448D0">
        <w:t xml:space="preserve"> </w:t>
      </w:r>
      <w:r>
        <w:t xml:space="preserve">ramp for owners and operators subject to the </w:t>
      </w:r>
      <w:r w:rsidR="00723AC7">
        <w:t>Ozone Rule</w:t>
      </w:r>
      <w:r>
        <w:t xml:space="preserve">.  </w:t>
      </w:r>
      <w:r w:rsidRPr="006C0CE1">
        <w:rPr>
          <w:i/>
          <w:iCs/>
        </w:rPr>
        <w:t>See</w:t>
      </w:r>
      <w:r>
        <w:t xml:space="preserve"> Tr. Vol. 4 </w:t>
      </w:r>
      <w:r w:rsidRPr="006C0CE1">
        <w:rPr>
          <w:i/>
          <w:iCs/>
        </w:rPr>
        <w:t>in passim</w:t>
      </w:r>
      <w:r>
        <w:t xml:space="preserve">. </w:t>
      </w:r>
    </w:p>
    <w:p w14:paraId="0CA0EA25" w14:textId="6C80452C" w:rsidR="006C0CE1" w:rsidRDefault="006C0CE1" w:rsidP="00DE3339">
      <w:pPr>
        <w:pStyle w:val="ListParagraph"/>
        <w:numPr>
          <w:ilvl w:val="0"/>
          <w:numId w:val="2"/>
        </w:numPr>
        <w:spacing w:after="0" w:line="480" w:lineRule="auto"/>
        <w:ind w:left="0" w:firstLine="720"/>
        <w:jc w:val="both"/>
      </w:pPr>
      <w:r>
        <w:t xml:space="preserve">IPANM </w:t>
      </w:r>
      <w:r w:rsidR="007D0D50">
        <w:t>recommended</w:t>
      </w:r>
      <w:r>
        <w:t xml:space="preserve"> that </w:t>
      </w:r>
      <w:r w:rsidR="007D0D50">
        <w:t>proposed 20.2.50.</w:t>
      </w:r>
      <w:r>
        <w:t xml:space="preserve">125(G) not be adopted for lack of record support. </w:t>
      </w:r>
    </w:p>
    <w:p w14:paraId="658BE96C" w14:textId="21E33588" w:rsidR="000B2ABB" w:rsidRDefault="000B2ABB" w:rsidP="00DE3339">
      <w:pPr>
        <w:pStyle w:val="ListParagraph"/>
        <w:numPr>
          <w:ilvl w:val="0"/>
          <w:numId w:val="2"/>
        </w:numPr>
        <w:spacing w:after="0" w:line="480" w:lineRule="auto"/>
        <w:ind w:left="0" w:firstLine="720"/>
        <w:jc w:val="both"/>
      </w:pPr>
      <w:r>
        <w:t>In addition, t</w:t>
      </w:r>
      <w:r w:rsidRPr="000B2ABB">
        <w:t xml:space="preserve">he Department’s enforcement authority is independent of the Board’s authority and derives directly from the Legislature. </w:t>
      </w:r>
      <w:r>
        <w:t xml:space="preserve"> </w:t>
      </w:r>
      <w:r w:rsidRPr="0053570B">
        <w:rPr>
          <w:i/>
          <w:iCs/>
        </w:rPr>
        <w:t>See</w:t>
      </w:r>
      <w:r>
        <w:t xml:space="preserve"> NMSA 1978 </w:t>
      </w:r>
      <w:r w:rsidRPr="003F218A">
        <w:t>§</w:t>
      </w:r>
      <w:r>
        <w:t xml:space="preserve"> 74-2-12(A)(1) and (2).</w:t>
      </w:r>
      <w:r w:rsidRPr="000B2ABB">
        <w:t xml:space="preserve"> </w:t>
      </w:r>
    </w:p>
    <w:p w14:paraId="24896937" w14:textId="2CCF888B" w:rsidR="00F8271C" w:rsidRDefault="00F8271C" w:rsidP="00DE3339">
      <w:pPr>
        <w:pStyle w:val="ListParagraph"/>
        <w:numPr>
          <w:ilvl w:val="0"/>
          <w:numId w:val="2"/>
        </w:numPr>
        <w:spacing w:after="0" w:line="480" w:lineRule="auto"/>
        <w:ind w:left="0" w:firstLine="720"/>
        <w:jc w:val="both"/>
      </w:pPr>
      <w:r>
        <w:t xml:space="preserve">The Legislature has not delegated authority to the Board that allows it to confer enforcement authority unto the Department.  </w:t>
      </w:r>
      <w:r w:rsidRPr="0053570B">
        <w:rPr>
          <w:i/>
          <w:iCs/>
        </w:rPr>
        <w:t>See</w:t>
      </w:r>
      <w:r>
        <w:t xml:space="preserve"> NMSA 1978 </w:t>
      </w:r>
      <w:r w:rsidRPr="003F218A">
        <w:t>§</w:t>
      </w:r>
      <w:r>
        <w:t xml:space="preserve"> 74-2-5(A)-(G). </w:t>
      </w:r>
    </w:p>
    <w:p w14:paraId="0FEA8F0A" w14:textId="39361061" w:rsidR="000B2ABB" w:rsidRDefault="000B2ABB" w:rsidP="00DE3339">
      <w:pPr>
        <w:pStyle w:val="ListParagraph"/>
        <w:numPr>
          <w:ilvl w:val="0"/>
          <w:numId w:val="2"/>
        </w:numPr>
        <w:spacing w:after="0" w:line="480" w:lineRule="auto"/>
        <w:ind w:left="0" w:firstLine="720"/>
        <w:jc w:val="both"/>
      </w:pPr>
      <w:r w:rsidRPr="000B2ABB">
        <w:t>The B</w:t>
      </w:r>
      <w:r w:rsidR="00471312">
        <w:t>o</w:t>
      </w:r>
      <w:r w:rsidR="002A69FF">
        <w:t>ard</w:t>
      </w:r>
      <w:r w:rsidRPr="000B2ABB">
        <w:t>, consequently, does not have the requisite authority to confer enforcement authority unto the Department</w:t>
      </w:r>
      <w:r>
        <w:t xml:space="preserve"> as provided in Section 125(G)</w:t>
      </w:r>
      <w:r w:rsidR="00F8271C">
        <w:t xml:space="preserve"> because it is inconsistent with the Air Act and the duties and powers of the Board</w:t>
      </w:r>
      <w:r>
        <w:t xml:space="preserve">. </w:t>
      </w:r>
      <w:r w:rsidR="009B7678">
        <w:t xml:space="preserve"> </w:t>
      </w:r>
      <w:r w:rsidR="009B7678" w:rsidRPr="0053570B">
        <w:rPr>
          <w:i/>
          <w:iCs/>
        </w:rPr>
        <w:t>See</w:t>
      </w:r>
      <w:r w:rsidR="009B7678">
        <w:t xml:space="preserve"> </w:t>
      </w:r>
      <w:r w:rsidR="009B7678" w:rsidRPr="003F218A">
        <w:t>§</w:t>
      </w:r>
      <w:r w:rsidR="009B7678">
        <w:t xml:space="preserve"> 74-2-12(A)(1) and (2</w:t>
      </w:r>
      <w:r w:rsidR="00F8271C">
        <w:t>); § 74-2-5(A)-(G)</w:t>
      </w:r>
      <w:r w:rsidR="009B7678">
        <w:t>.</w:t>
      </w:r>
    </w:p>
    <w:p w14:paraId="258DC085" w14:textId="6EBF23C8" w:rsidR="000B2ABB" w:rsidRDefault="000B2ABB" w:rsidP="00DE3339">
      <w:pPr>
        <w:pStyle w:val="ListParagraph"/>
        <w:numPr>
          <w:ilvl w:val="0"/>
          <w:numId w:val="2"/>
        </w:numPr>
        <w:spacing w:after="0" w:line="480" w:lineRule="auto"/>
        <w:ind w:left="0" w:firstLine="720"/>
        <w:jc w:val="both"/>
      </w:pPr>
      <w:r>
        <w:lastRenderedPageBreak/>
        <w:t xml:space="preserve">The Board, therefore, does not have authority to promulgate </w:t>
      </w:r>
      <w:r w:rsidR="002A69FF">
        <w:t xml:space="preserve">proposed </w:t>
      </w:r>
      <w:r>
        <w:t xml:space="preserve">Section 125(G). </w:t>
      </w:r>
      <w:r w:rsidR="00862E2D">
        <w:t xml:space="preserve"> </w:t>
      </w:r>
      <w:r w:rsidR="00862E2D" w:rsidRPr="0034298A">
        <w:rPr>
          <w:i/>
          <w:iCs/>
        </w:rPr>
        <w:t>See</w:t>
      </w:r>
      <w:r w:rsidR="00862E2D">
        <w:t xml:space="preserve"> </w:t>
      </w:r>
      <w:r w:rsidR="00862E2D" w:rsidRPr="00F71686">
        <w:rPr>
          <w:rFonts w:cs="Times New Roman"/>
          <w:i/>
          <w:iCs/>
          <w:szCs w:val="24"/>
        </w:rPr>
        <w:t>Wilcox v. New Mexico Bd. of Acupuncture &amp; Oriental Med</w:t>
      </w:r>
      <w:r w:rsidR="00862E2D" w:rsidRPr="00F71686">
        <w:rPr>
          <w:rFonts w:cs="Times New Roman"/>
          <w:szCs w:val="24"/>
        </w:rPr>
        <w:t>.</w:t>
      </w:r>
      <w:r w:rsidR="00862E2D" w:rsidRPr="00106144">
        <w:rPr>
          <w:rFonts w:cs="Times New Roman"/>
          <w:szCs w:val="24"/>
        </w:rPr>
        <w:t>, 2012-NMCA-106, ¶ 7</w:t>
      </w:r>
      <w:r w:rsidR="00862E2D">
        <w:rPr>
          <w:rFonts w:cs="Times New Roman"/>
          <w:szCs w:val="24"/>
        </w:rPr>
        <w:t xml:space="preserve">. </w:t>
      </w:r>
    </w:p>
    <w:p w14:paraId="3235B4D1" w14:textId="369BB0C6" w:rsidR="004213F6" w:rsidRDefault="004213F6" w:rsidP="004213F6">
      <w:pPr>
        <w:pStyle w:val="ListParagraph"/>
        <w:numPr>
          <w:ilvl w:val="0"/>
          <w:numId w:val="2"/>
        </w:numPr>
        <w:spacing w:after="0" w:line="480" w:lineRule="auto"/>
        <w:ind w:left="0" w:firstLine="720"/>
        <w:jc w:val="both"/>
      </w:pPr>
      <w:r>
        <w:t xml:space="preserve">The </w:t>
      </w:r>
      <w:r w:rsidR="00A62BD1">
        <w:t>Board</w:t>
      </w:r>
      <w:r>
        <w:t xml:space="preserve"> finds that the language as proposed in the </w:t>
      </w:r>
      <w:r w:rsidR="0034298A">
        <w:t xml:space="preserve">September </w:t>
      </w:r>
      <w:r w:rsidR="0002353A">
        <w:t>16</w:t>
      </w:r>
      <w:r>
        <w:t xml:space="preserve">, 2021, version of the </w:t>
      </w:r>
      <w:r w:rsidR="00723AC7">
        <w:t>Ozone Rule</w:t>
      </w:r>
      <w:r>
        <w:t xml:space="preserve"> for </w:t>
      </w:r>
      <w:r w:rsidRPr="004213F6">
        <w:t>20.2.50.</w:t>
      </w:r>
      <w:proofErr w:type="gramStart"/>
      <w:r w:rsidRPr="004213F6">
        <w:t>7.</w:t>
      </w:r>
      <w:r w:rsidR="0002353A">
        <w:t>OO</w:t>
      </w:r>
      <w:proofErr w:type="gramEnd"/>
      <w:r w:rsidRPr="004213F6">
        <w:t xml:space="preserve"> and 20.2.50.125</w:t>
      </w:r>
      <w:r w:rsidR="00667F96">
        <w:t>(G)</w:t>
      </w:r>
      <w:r>
        <w:t xml:space="preserve"> is not appropriate</w:t>
      </w:r>
      <w:r w:rsidR="00667F96">
        <w:t xml:space="preserve"> because </w:t>
      </w:r>
      <w:r w:rsidR="00667F96" w:rsidRPr="006E5A83">
        <w:t>gross annual revenue is not a measure of the business’s profitability</w:t>
      </w:r>
      <w:r w:rsidR="00862E2D">
        <w:t>,</w:t>
      </w:r>
      <w:r w:rsidR="00667F96">
        <w:t xml:space="preserve"> and </w:t>
      </w:r>
      <w:r w:rsidR="00862E2D">
        <w:t xml:space="preserve">the </w:t>
      </w:r>
      <w:r w:rsidR="007D0D50">
        <w:t>proposed 20.2.50.</w:t>
      </w:r>
      <w:r w:rsidR="00667F96">
        <w:t>125(G) lacks record support</w:t>
      </w:r>
      <w:r w:rsidR="00862E2D">
        <w:t xml:space="preserve"> and is beyond the Board’s rulemaking authority</w:t>
      </w:r>
      <w:r w:rsidR="00532DCA">
        <w:t xml:space="preserve"> to confer enforcement authority to NMED</w:t>
      </w:r>
      <w:r w:rsidR="00862E2D">
        <w:t>.</w:t>
      </w:r>
      <w:r w:rsidR="00667F96">
        <w:t xml:space="preserve"> </w:t>
      </w:r>
    </w:p>
    <w:p w14:paraId="1DC282BE" w14:textId="43348D97" w:rsidR="00073D4A" w:rsidRDefault="00862E2D" w:rsidP="00A713CF">
      <w:pPr>
        <w:pStyle w:val="ListParagraph"/>
        <w:numPr>
          <w:ilvl w:val="0"/>
          <w:numId w:val="2"/>
        </w:numPr>
        <w:spacing w:line="480" w:lineRule="auto"/>
        <w:ind w:left="0" w:firstLine="720"/>
        <w:jc w:val="both"/>
      </w:pPr>
      <w:r>
        <w:t xml:space="preserve">Based on the evidence presented, the Board finds </w:t>
      </w:r>
      <w:r w:rsidR="0002353A">
        <w:t>IPANM’s proposed</w:t>
      </w:r>
      <w:r>
        <w:t xml:space="preserve"> version </w:t>
      </w:r>
      <w:proofErr w:type="gramStart"/>
      <w:r>
        <w:t>of  20</w:t>
      </w:r>
      <w:proofErr w:type="gramEnd"/>
      <w:r>
        <w:t>.2.50.</w:t>
      </w:r>
      <w:r w:rsidR="0002353A">
        <w:t>7VV and 20.2.50.1</w:t>
      </w:r>
      <w:r>
        <w:t>2</w:t>
      </w:r>
      <w:r w:rsidR="0002353A">
        <w:t>5</w:t>
      </w:r>
      <w:r>
        <w:t xml:space="preserve"> NMAC is appropriate and should be adopted</w:t>
      </w:r>
      <w:r w:rsidR="0002353A">
        <w:t>.  The</w:t>
      </w:r>
      <w:r w:rsidR="00532DCA">
        <w:t xml:space="preserve"> fifty-employee cutoff provides the necessary relief for small business in New Mexico. </w:t>
      </w:r>
    </w:p>
    <w:sectPr w:rsidR="00073D4A" w:rsidSect="00E529BF">
      <w:footerReference w:type="default" r:id="rId10"/>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819E9" w14:textId="77777777" w:rsidR="00E467CB" w:rsidRDefault="00E467CB" w:rsidP="009A1249">
      <w:pPr>
        <w:spacing w:after="0" w:line="240" w:lineRule="auto"/>
      </w:pPr>
      <w:r>
        <w:separator/>
      </w:r>
    </w:p>
  </w:endnote>
  <w:endnote w:type="continuationSeparator" w:id="0">
    <w:p w14:paraId="0F4C2D4D" w14:textId="77777777" w:rsidR="00E467CB" w:rsidRDefault="00E467CB" w:rsidP="009A1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8032172"/>
      <w:docPartObj>
        <w:docPartGallery w:val="Page Numbers (Bottom of Page)"/>
        <w:docPartUnique/>
      </w:docPartObj>
    </w:sdtPr>
    <w:sdtEndPr>
      <w:rPr>
        <w:noProof/>
      </w:rPr>
    </w:sdtEndPr>
    <w:sdtContent>
      <w:p w14:paraId="14E81017" w14:textId="03DA5A90" w:rsidR="00826166" w:rsidRDefault="008261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AE8A6C" w14:textId="1059CA9A" w:rsidR="009A1249" w:rsidRDefault="00FA5280">
    <w:pPr>
      <w:pStyle w:val="Footer"/>
    </w:pPr>
    <w:r>
      <w:t>Exhibit B</w:t>
    </w:r>
  </w:p>
  <w:p w14:paraId="5FBE36FB" w14:textId="0373F0BA" w:rsidR="00FA5280" w:rsidRPr="009A1249" w:rsidRDefault="00FA5280">
    <w:pPr>
      <w:pStyle w:val="Footer"/>
    </w:pPr>
    <w:r>
      <w:t>IPANM’s Proposed Statement of Reasons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778272"/>
      <w:docPartObj>
        <w:docPartGallery w:val="Page Numbers (Bottom of Page)"/>
        <w:docPartUnique/>
      </w:docPartObj>
    </w:sdtPr>
    <w:sdtEndPr>
      <w:rPr>
        <w:noProof/>
      </w:rPr>
    </w:sdtEndPr>
    <w:sdtContent>
      <w:p w14:paraId="6004DAFC" w14:textId="77777777" w:rsidR="00252F62" w:rsidRDefault="00252F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51EB8F" w14:textId="77777777" w:rsidR="00252F62" w:rsidRDefault="00252F62">
    <w:pPr>
      <w:pStyle w:val="Footer"/>
    </w:pPr>
    <w:r>
      <w:t>Exhibit B</w:t>
    </w:r>
  </w:p>
  <w:p w14:paraId="22C6AA03" w14:textId="77777777" w:rsidR="00252F62" w:rsidRPr="009A1249" w:rsidRDefault="00252F62">
    <w:pPr>
      <w:pStyle w:val="Footer"/>
    </w:pPr>
    <w:r>
      <w:t>IPANM’s Proposed Statement of Reasons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03ED7" w14:textId="77777777" w:rsidR="00E467CB" w:rsidRDefault="00E467CB" w:rsidP="009A1249">
      <w:pPr>
        <w:spacing w:after="0" w:line="240" w:lineRule="auto"/>
        <w:rPr>
          <w:noProof/>
        </w:rPr>
      </w:pPr>
      <w:r>
        <w:rPr>
          <w:noProof/>
        </w:rPr>
        <w:separator/>
      </w:r>
    </w:p>
  </w:footnote>
  <w:footnote w:type="continuationSeparator" w:id="0">
    <w:p w14:paraId="2069499F" w14:textId="77777777" w:rsidR="00E467CB" w:rsidRDefault="00E467CB" w:rsidP="009A1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9E166" w14:textId="23030251" w:rsidR="00E26767" w:rsidRDefault="00E26767" w:rsidP="00E2676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77549"/>
    <w:multiLevelType w:val="hybridMultilevel"/>
    <w:tmpl w:val="25B05038"/>
    <w:lvl w:ilvl="0" w:tplc="E8886A1A">
      <w:start w:val="1"/>
      <w:numFmt w:val="decimal"/>
      <w:lvlText w:val="%1."/>
      <w:lvlJc w:val="left"/>
      <w:pPr>
        <w:ind w:left="108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46D9A"/>
    <w:multiLevelType w:val="hybridMultilevel"/>
    <w:tmpl w:val="DD00E414"/>
    <w:lvl w:ilvl="0" w:tplc="CA6AEA40">
      <w:start w:val="1"/>
      <w:numFmt w:val="upperLetter"/>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DA687F"/>
    <w:multiLevelType w:val="hybridMultilevel"/>
    <w:tmpl w:val="E904D1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2F2BFC"/>
    <w:multiLevelType w:val="hybridMultilevel"/>
    <w:tmpl w:val="E904D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F523C4"/>
    <w:multiLevelType w:val="hybridMultilevel"/>
    <w:tmpl w:val="960A9EDE"/>
    <w:lvl w:ilvl="0" w:tplc="1396BF54">
      <w:start w:val="4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C501866"/>
    <w:multiLevelType w:val="hybridMultilevel"/>
    <w:tmpl w:val="EB3873C0"/>
    <w:lvl w:ilvl="0" w:tplc="0DDAB422">
      <w:start w:val="2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65CCF"/>
    <w:multiLevelType w:val="hybridMultilevel"/>
    <w:tmpl w:val="EEBC2A4E"/>
    <w:lvl w:ilvl="0" w:tplc="7EE210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A74306"/>
    <w:multiLevelType w:val="hybridMultilevel"/>
    <w:tmpl w:val="BEBA6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7E4F4E"/>
    <w:multiLevelType w:val="hybridMultilevel"/>
    <w:tmpl w:val="3F76DD70"/>
    <w:lvl w:ilvl="0" w:tplc="9CE45C94">
      <w:start w:val="1"/>
      <w:numFmt w:val="upperRoman"/>
      <w:pStyle w:val="Heading2"/>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
  </w:num>
  <w:num w:numId="4">
    <w:abstractNumId w:val="5"/>
  </w:num>
  <w:num w:numId="5">
    <w:abstractNumId w:val="1"/>
    <w:lvlOverride w:ilvl="0">
      <w:startOverride w:val="1"/>
    </w:lvlOverride>
  </w:num>
  <w:num w:numId="6">
    <w:abstractNumId w:val="7"/>
  </w:num>
  <w:num w:numId="7">
    <w:abstractNumId w:val="6"/>
  </w:num>
  <w:num w:numId="8">
    <w:abstractNumId w:val="3"/>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445"/>
    <w:rsid w:val="000000B9"/>
    <w:rsid w:val="00001CCC"/>
    <w:rsid w:val="000066D8"/>
    <w:rsid w:val="00006760"/>
    <w:rsid w:val="00010667"/>
    <w:rsid w:val="00013872"/>
    <w:rsid w:val="0002353A"/>
    <w:rsid w:val="00026C4E"/>
    <w:rsid w:val="0003040C"/>
    <w:rsid w:val="00030B40"/>
    <w:rsid w:val="00033141"/>
    <w:rsid w:val="00035F5E"/>
    <w:rsid w:val="000370F2"/>
    <w:rsid w:val="00037F32"/>
    <w:rsid w:val="00042628"/>
    <w:rsid w:val="00044FBD"/>
    <w:rsid w:val="00053AE4"/>
    <w:rsid w:val="000544CF"/>
    <w:rsid w:val="000711CD"/>
    <w:rsid w:val="00073D4A"/>
    <w:rsid w:val="00075C6A"/>
    <w:rsid w:val="0008102F"/>
    <w:rsid w:val="000A069A"/>
    <w:rsid w:val="000A25FF"/>
    <w:rsid w:val="000A2654"/>
    <w:rsid w:val="000B2ABB"/>
    <w:rsid w:val="000B4D85"/>
    <w:rsid w:val="000B742E"/>
    <w:rsid w:val="000C79C4"/>
    <w:rsid w:val="000D1971"/>
    <w:rsid w:val="000D20C7"/>
    <w:rsid w:val="000D2195"/>
    <w:rsid w:val="000E23FE"/>
    <w:rsid w:val="000E2C7E"/>
    <w:rsid w:val="000F16E1"/>
    <w:rsid w:val="000F5369"/>
    <w:rsid w:val="000F6E46"/>
    <w:rsid w:val="00105135"/>
    <w:rsid w:val="00105BE6"/>
    <w:rsid w:val="00107A62"/>
    <w:rsid w:val="00121206"/>
    <w:rsid w:val="00122F08"/>
    <w:rsid w:val="001261D8"/>
    <w:rsid w:val="00130A7D"/>
    <w:rsid w:val="001323E9"/>
    <w:rsid w:val="001331B1"/>
    <w:rsid w:val="00136762"/>
    <w:rsid w:val="00137DE2"/>
    <w:rsid w:val="00140E0B"/>
    <w:rsid w:val="00140F8F"/>
    <w:rsid w:val="001464F9"/>
    <w:rsid w:val="00146CD2"/>
    <w:rsid w:val="00150DCF"/>
    <w:rsid w:val="00154D42"/>
    <w:rsid w:val="001564AF"/>
    <w:rsid w:val="00160057"/>
    <w:rsid w:val="001614D5"/>
    <w:rsid w:val="00161B6F"/>
    <w:rsid w:val="00166E55"/>
    <w:rsid w:val="00174091"/>
    <w:rsid w:val="001754C8"/>
    <w:rsid w:val="00177228"/>
    <w:rsid w:val="00181733"/>
    <w:rsid w:val="00190334"/>
    <w:rsid w:val="001913FE"/>
    <w:rsid w:val="001930C8"/>
    <w:rsid w:val="00195FCE"/>
    <w:rsid w:val="0019688D"/>
    <w:rsid w:val="00196A62"/>
    <w:rsid w:val="00197D1B"/>
    <w:rsid w:val="001A00E8"/>
    <w:rsid w:val="001A02A1"/>
    <w:rsid w:val="001A22DD"/>
    <w:rsid w:val="001A32F6"/>
    <w:rsid w:val="001B14C6"/>
    <w:rsid w:val="001B6EA3"/>
    <w:rsid w:val="001B74A9"/>
    <w:rsid w:val="001B7926"/>
    <w:rsid w:val="001C301C"/>
    <w:rsid w:val="001C5F2D"/>
    <w:rsid w:val="001E0F9A"/>
    <w:rsid w:val="001E2224"/>
    <w:rsid w:val="001E2414"/>
    <w:rsid w:val="001E7116"/>
    <w:rsid w:val="001F6944"/>
    <w:rsid w:val="001F7358"/>
    <w:rsid w:val="001F7EBE"/>
    <w:rsid w:val="0020037B"/>
    <w:rsid w:val="00206EF8"/>
    <w:rsid w:val="00211628"/>
    <w:rsid w:val="00222BB5"/>
    <w:rsid w:val="00237B65"/>
    <w:rsid w:val="00237DBD"/>
    <w:rsid w:val="00240A67"/>
    <w:rsid w:val="0024466F"/>
    <w:rsid w:val="002467F0"/>
    <w:rsid w:val="00252F62"/>
    <w:rsid w:val="00266A1D"/>
    <w:rsid w:val="00266EE9"/>
    <w:rsid w:val="00266F06"/>
    <w:rsid w:val="00277128"/>
    <w:rsid w:val="002825F0"/>
    <w:rsid w:val="00284D8B"/>
    <w:rsid w:val="00285CCF"/>
    <w:rsid w:val="00291853"/>
    <w:rsid w:val="0029338D"/>
    <w:rsid w:val="002A1B5F"/>
    <w:rsid w:val="002A32B2"/>
    <w:rsid w:val="002A38C0"/>
    <w:rsid w:val="002A4F93"/>
    <w:rsid w:val="002A69FF"/>
    <w:rsid w:val="002B0CA0"/>
    <w:rsid w:val="002B2D78"/>
    <w:rsid w:val="002B2E70"/>
    <w:rsid w:val="002B500D"/>
    <w:rsid w:val="002C2861"/>
    <w:rsid w:val="002D553D"/>
    <w:rsid w:val="002D79D9"/>
    <w:rsid w:val="002E1272"/>
    <w:rsid w:val="002E16CE"/>
    <w:rsid w:val="002E1C84"/>
    <w:rsid w:val="002E3535"/>
    <w:rsid w:val="002E5579"/>
    <w:rsid w:val="002E59BB"/>
    <w:rsid w:val="002F1F6B"/>
    <w:rsid w:val="002F3B50"/>
    <w:rsid w:val="002F4813"/>
    <w:rsid w:val="002F57D7"/>
    <w:rsid w:val="00301602"/>
    <w:rsid w:val="00305CD8"/>
    <w:rsid w:val="003078C0"/>
    <w:rsid w:val="0031004B"/>
    <w:rsid w:val="00316E80"/>
    <w:rsid w:val="0032139C"/>
    <w:rsid w:val="00324A1B"/>
    <w:rsid w:val="003312F6"/>
    <w:rsid w:val="003320CF"/>
    <w:rsid w:val="00341031"/>
    <w:rsid w:val="00341207"/>
    <w:rsid w:val="0034298A"/>
    <w:rsid w:val="00344DCE"/>
    <w:rsid w:val="003451DC"/>
    <w:rsid w:val="00345866"/>
    <w:rsid w:val="00352868"/>
    <w:rsid w:val="003646C2"/>
    <w:rsid w:val="00366F5B"/>
    <w:rsid w:val="00367B71"/>
    <w:rsid w:val="00370B89"/>
    <w:rsid w:val="00370C0C"/>
    <w:rsid w:val="00372449"/>
    <w:rsid w:val="00383306"/>
    <w:rsid w:val="00385FC2"/>
    <w:rsid w:val="003927F3"/>
    <w:rsid w:val="00392EB0"/>
    <w:rsid w:val="00395A72"/>
    <w:rsid w:val="00396FF9"/>
    <w:rsid w:val="003A4E19"/>
    <w:rsid w:val="003A66FC"/>
    <w:rsid w:val="003B155C"/>
    <w:rsid w:val="003B1BAC"/>
    <w:rsid w:val="003B2DB7"/>
    <w:rsid w:val="003B5635"/>
    <w:rsid w:val="003B7AB8"/>
    <w:rsid w:val="003C0441"/>
    <w:rsid w:val="003C1FF8"/>
    <w:rsid w:val="003D3D7E"/>
    <w:rsid w:val="003D59DE"/>
    <w:rsid w:val="003F4A5E"/>
    <w:rsid w:val="00405389"/>
    <w:rsid w:val="004114F2"/>
    <w:rsid w:val="004124D3"/>
    <w:rsid w:val="004156E2"/>
    <w:rsid w:val="0041608A"/>
    <w:rsid w:val="00416D07"/>
    <w:rsid w:val="0042096E"/>
    <w:rsid w:val="004213F6"/>
    <w:rsid w:val="00421BAE"/>
    <w:rsid w:val="00425039"/>
    <w:rsid w:val="00427D54"/>
    <w:rsid w:val="0043292D"/>
    <w:rsid w:val="00434051"/>
    <w:rsid w:val="0043572C"/>
    <w:rsid w:val="00435D95"/>
    <w:rsid w:val="00437597"/>
    <w:rsid w:val="00446317"/>
    <w:rsid w:val="00452F05"/>
    <w:rsid w:val="0046131F"/>
    <w:rsid w:val="00462091"/>
    <w:rsid w:val="004633D1"/>
    <w:rsid w:val="0046350E"/>
    <w:rsid w:val="004658FF"/>
    <w:rsid w:val="00471312"/>
    <w:rsid w:val="00471752"/>
    <w:rsid w:val="00472239"/>
    <w:rsid w:val="00474E1F"/>
    <w:rsid w:val="00475AF5"/>
    <w:rsid w:val="00480FA4"/>
    <w:rsid w:val="00481013"/>
    <w:rsid w:val="00481153"/>
    <w:rsid w:val="00481812"/>
    <w:rsid w:val="004911D2"/>
    <w:rsid w:val="00495013"/>
    <w:rsid w:val="0049655B"/>
    <w:rsid w:val="0049782F"/>
    <w:rsid w:val="004A0A66"/>
    <w:rsid w:val="004B22A5"/>
    <w:rsid w:val="004B7847"/>
    <w:rsid w:val="004C07C1"/>
    <w:rsid w:val="004C0E13"/>
    <w:rsid w:val="004C2024"/>
    <w:rsid w:val="004D42EE"/>
    <w:rsid w:val="004D6960"/>
    <w:rsid w:val="004F14DB"/>
    <w:rsid w:val="00500404"/>
    <w:rsid w:val="005009EC"/>
    <w:rsid w:val="005067DF"/>
    <w:rsid w:val="00514C62"/>
    <w:rsid w:val="00516C68"/>
    <w:rsid w:val="00523A11"/>
    <w:rsid w:val="0052537B"/>
    <w:rsid w:val="005271F3"/>
    <w:rsid w:val="00527B44"/>
    <w:rsid w:val="00527D42"/>
    <w:rsid w:val="00530B03"/>
    <w:rsid w:val="00532DCA"/>
    <w:rsid w:val="005341B7"/>
    <w:rsid w:val="0053513D"/>
    <w:rsid w:val="005364DD"/>
    <w:rsid w:val="00554B27"/>
    <w:rsid w:val="00555117"/>
    <w:rsid w:val="00555B00"/>
    <w:rsid w:val="00571876"/>
    <w:rsid w:val="00572C37"/>
    <w:rsid w:val="005739DB"/>
    <w:rsid w:val="0057555C"/>
    <w:rsid w:val="00584E8D"/>
    <w:rsid w:val="00584F91"/>
    <w:rsid w:val="005876A8"/>
    <w:rsid w:val="00597134"/>
    <w:rsid w:val="005A0F75"/>
    <w:rsid w:val="005B22BF"/>
    <w:rsid w:val="005C218E"/>
    <w:rsid w:val="005C4567"/>
    <w:rsid w:val="005C793C"/>
    <w:rsid w:val="005D2080"/>
    <w:rsid w:val="005D3D56"/>
    <w:rsid w:val="005E26DA"/>
    <w:rsid w:val="005E514C"/>
    <w:rsid w:val="005E6067"/>
    <w:rsid w:val="005E7554"/>
    <w:rsid w:val="005E794E"/>
    <w:rsid w:val="005F0713"/>
    <w:rsid w:val="005F0B96"/>
    <w:rsid w:val="005F3984"/>
    <w:rsid w:val="005F413C"/>
    <w:rsid w:val="005F6D4C"/>
    <w:rsid w:val="00605038"/>
    <w:rsid w:val="00605DEB"/>
    <w:rsid w:val="00606ED9"/>
    <w:rsid w:val="00611021"/>
    <w:rsid w:val="00612D94"/>
    <w:rsid w:val="00624758"/>
    <w:rsid w:val="00627108"/>
    <w:rsid w:val="0063390E"/>
    <w:rsid w:val="006348A7"/>
    <w:rsid w:val="00636142"/>
    <w:rsid w:val="006365CC"/>
    <w:rsid w:val="0064007A"/>
    <w:rsid w:val="006454E1"/>
    <w:rsid w:val="006457E0"/>
    <w:rsid w:val="00646CE9"/>
    <w:rsid w:val="0065354F"/>
    <w:rsid w:val="00660329"/>
    <w:rsid w:val="00663CF7"/>
    <w:rsid w:val="006673CD"/>
    <w:rsid w:val="0066754A"/>
    <w:rsid w:val="00667F96"/>
    <w:rsid w:val="006724FF"/>
    <w:rsid w:val="006761A7"/>
    <w:rsid w:val="00677A00"/>
    <w:rsid w:val="0068109D"/>
    <w:rsid w:val="00682F59"/>
    <w:rsid w:val="0068335B"/>
    <w:rsid w:val="00684E0F"/>
    <w:rsid w:val="00692D81"/>
    <w:rsid w:val="006A0784"/>
    <w:rsid w:val="006A1F0F"/>
    <w:rsid w:val="006A223C"/>
    <w:rsid w:val="006A657B"/>
    <w:rsid w:val="006A7695"/>
    <w:rsid w:val="006B01E3"/>
    <w:rsid w:val="006B2398"/>
    <w:rsid w:val="006C0CE1"/>
    <w:rsid w:val="006C7B2A"/>
    <w:rsid w:val="006D024D"/>
    <w:rsid w:val="006D0D23"/>
    <w:rsid w:val="006D107B"/>
    <w:rsid w:val="006D7452"/>
    <w:rsid w:val="006E2D0A"/>
    <w:rsid w:val="006E3CBB"/>
    <w:rsid w:val="006E5A83"/>
    <w:rsid w:val="006F0720"/>
    <w:rsid w:val="006F3E74"/>
    <w:rsid w:val="00700261"/>
    <w:rsid w:val="007026E1"/>
    <w:rsid w:val="00711DBC"/>
    <w:rsid w:val="00714E14"/>
    <w:rsid w:val="00723AC7"/>
    <w:rsid w:val="0072414A"/>
    <w:rsid w:val="00730620"/>
    <w:rsid w:val="0073072C"/>
    <w:rsid w:val="0073528C"/>
    <w:rsid w:val="00742391"/>
    <w:rsid w:val="00742CDA"/>
    <w:rsid w:val="007448D0"/>
    <w:rsid w:val="0074644E"/>
    <w:rsid w:val="007470E5"/>
    <w:rsid w:val="007519EE"/>
    <w:rsid w:val="0076128E"/>
    <w:rsid w:val="00761EF1"/>
    <w:rsid w:val="00762BA6"/>
    <w:rsid w:val="00765389"/>
    <w:rsid w:val="00766976"/>
    <w:rsid w:val="00775ED0"/>
    <w:rsid w:val="00783662"/>
    <w:rsid w:val="00787453"/>
    <w:rsid w:val="00795A43"/>
    <w:rsid w:val="007A10B3"/>
    <w:rsid w:val="007A32A3"/>
    <w:rsid w:val="007A60AA"/>
    <w:rsid w:val="007B607C"/>
    <w:rsid w:val="007C13A4"/>
    <w:rsid w:val="007C28B9"/>
    <w:rsid w:val="007C6F30"/>
    <w:rsid w:val="007D0D50"/>
    <w:rsid w:val="007E7841"/>
    <w:rsid w:val="007F026B"/>
    <w:rsid w:val="007F045B"/>
    <w:rsid w:val="007F2275"/>
    <w:rsid w:val="007F43AE"/>
    <w:rsid w:val="007F6BE3"/>
    <w:rsid w:val="0080168C"/>
    <w:rsid w:val="00805071"/>
    <w:rsid w:val="00807087"/>
    <w:rsid w:val="00810AA6"/>
    <w:rsid w:val="008118D2"/>
    <w:rsid w:val="00826166"/>
    <w:rsid w:val="00827560"/>
    <w:rsid w:val="00834CEE"/>
    <w:rsid w:val="0084081C"/>
    <w:rsid w:val="0084196A"/>
    <w:rsid w:val="00845E0F"/>
    <w:rsid w:val="008461A9"/>
    <w:rsid w:val="008559A3"/>
    <w:rsid w:val="008569ED"/>
    <w:rsid w:val="00860D28"/>
    <w:rsid w:val="00862E2D"/>
    <w:rsid w:val="008657E7"/>
    <w:rsid w:val="00877633"/>
    <w:rsid w:val="00887D4D"/>
    <w:rsid w:val="008919B8"/>
    <w:rsid w:val="0089720C"/>
    <w:rsid w:val="008A2120"/>
    <w:rsid w:val="008A327C"/>
    <w:rsid w:val="008B6480"/>
    <w:rsid w:val="008C3466"/>
    <w:rsid w:val="008C44E6"/>
    <w:rsid w:val="008C56DD"/>
    <w:rsid w:val="008C71C4"/>
    <w:rsid w:val="008D042A"/>
    <w:rsid w:val="008D0FA5"/>
    <w:rsid w:val="008D3A1C"/>
    <w:rsid w:val="008E0D6F"/>
    <w:rsid w:val="008E2230"/>
    <w:rsid w:val="008E2436"/>
    <w:rsid w:val="008E3711"/>
    <w:rsid w:val="008E3A70"/>
    <w:rsid w:val="008E4358"/>
    <w:rsid w:val="008E562B"/>
    <w:rsid w:val="008F01CF"/>
    <w:rsid w:val="008F50BF"/>
    <w:rsid w:val="008F55A2"/>
    <w:rsid w:val="00901619"/>
    <w:rsid w:val="00910737"/>
    <w:rsid w:val="00910DAC"/>
    <w:rsid w:val="009205B5"/>
    <w:rsid w:val="00923A34"/>
    <w:rsid w:val="00924AAD"/>
    <w:rsid w:val="009268DC"/>
    <w:rsid w:val="00941088"/>
    <w:rsid w:val="00941858"/>
    <w:rsid w:val="00960628"/>
    <w:rsid w:val="009619E4"/>
    <w:rsid w:val="00962878"/>
    <w:rsid w:val="00964DF2"/>
    <w:rsid w:val="00966FC9"/>
    <w:rsid w:val="00967DCD"/>
    <w:rsid w:val="009704CA"/>
    <w:rsid w:val="00971221"/>
    <w:rsid w:val="00973175"/>
    <w:rsid w:val="009855FC"/>
    <w:rsid w:val="00992955"/>
    <w:rsid w:val="00993607"/>
    <w:rsid w:val="009936F3"/>
    <w:rsid w:val="00996282"/>
    <w:rsid w:val="009964B6"/>
    <w:rsid w:val="009A1249"/>
    <w:rsid w:val="009A358F"/>
    <w:rsid w:val="009A62F9"/>
    <w:rsid w:val="009B0CD1"/>
    <w:rsid w:val="009B3D6F"/>
    <w:rsid w:val="009B4BBF"/>
    <w:rsid w:val="009B7678"/>
    <w:rsid w:val="009C2189"/>
    <w:rsid w:val="009C77EE"/>
    <w:rsid w:val="009D6386"/>
    <w:rsid w:val="009E4F09"/>
    <w:rsid w:val="009E6D4C"/>
    <w:rsid w:val="009F4DE4"/>
    <w:rsid w:val="00A0241C"/>
    <w:rsid w:val="00A11AB0"/>
    <w:rsid w:val="00A121D7"/>
    <w:rsid w:val="00A14E78"/>
    <w:rsid w:val="00A16A9D"/>
    <w:rsid w:val="00A30B09"/>
    <w:rsid w:val="00A422ED"/>
    <w:rsid w:val="00A42F14"/>
    <w:rsid w:val="00A511C8"/>
    <w:rsid w:val="00A515C8"/>
    <w:rsid w:val="00A55CDF"/>
    <w:rsid w:val="00A562CE"/>
    <w:rsid w:val="00A56ADF"/>
    <w:rsid w:val="00A56CC9"/>
    <w:rsid w:val="00A61B8B"/>
    <w:rsid w:val="00A62BD1"/>
    <w:rsid w:val="00A67259"/>
    <w:rsid w:val="00A713CF"/>
    <w:rsid w:val="00A747C2"/>
    <w:rsid w:val="00A84A86"/>
    <w:rsid w:val="00A8703E"/>
    <w:rsid w:val="00A87534"/>
    <w:rsid w:val="00A920A1"/>
    <w:rsid w:val="00A925C6"/>
    <w:rsid w:val="00A930FF"/>
    <w:rsid w:val="00A93928"/>
    <w:rsid w:val="00A9455E"/>
    <w:rsid w:val="00AA15E5"/>
    <w:rsid w:val="00AB33C7"/>
    <w:rsid w:val="00AB4D90"/>
    <w:rsid w:val="00AC0580"/>
    <w:rsid w:val="00AC20A9"/>
    <w:rsid w:val="00AC28DE"/>
    <w:rsid w:val="00AC5BF1"/>
    <w:rsid w:val="00AC7F24"/>
    <w:rsid w:val="00AD13BB"/>
    <w:rsid w:val="00AE1389"/>
    <w:rsid w:val="00AE1D7D"/>
    <w:rsid w:val="00AE35A6"/>
    <w:rsid w:val="00AE36BD"/>
    <w:rsid w:val="00AE3713"/>
    <w:rsid w:val="00AF4E25"/>
    <w:rsid w:val="00B00A30"/>
    <w:rsid w:val="00B00FFC"/>
    <w:rsid w:val="00B05428"/>
    <w:rsid w:val="00B13D19"/>
    <w:rsid w:val="00B13FDF"/>
    <w:rsid w:val="00B14FDE"/>
    <w:rsid w:val="00B163B0"/>
    <w:rsid w:val="00B170D9"/>
    <w:rsid w:val="00B21956"/>
    <w:rsid w:val="00B22B8F"/>
    <w:rsid w:val="00B24B1D"/>
    <w:rsid w:val="00B2500F"/>
    <w:rsid w:val="00B261FF"/>
    <w:rsid w:val="00B40FA9"/>
    <w:rsid w:val="00B42F24"/>
    <w:rsid w:val="00B44B66"/>
    <w:rsid w:val="00B46150"/>
    <w:rsid w:val="00B47F98"/>
    <w:rsid w:val="00B6083E"/>
    <w:rsid w:val="00B62D9D"/>
    <w:rsid w:val="00B63356"/>
    <w:rsid w:val="00B67AC0"/>
    <w:rsid w:val="00B7753D"/>
    <w:rsid w:val="00B81B3E"/>
    <w:rsid w:val="00B90881"/>
    <w:rsid w:val="00B94504"/>
    <w:rsid w:val="00B964CA"/>
    <w:rsid w:val="00B97B82"/>
    <w:rsid w:val="00BA02B6"/>
    <w:rsid w:val="00BA22A9"/>
    <w:rsid w:val="00BA5B7D"/>
    <w:rsid w:val="00BB0941"/>
    <w:rsid w:val="00BB1141"/>
    <w:rsid w:val="00BB5DBE"/>
    <w:rsid w:val="00BB6816"/>
    <w:rsid w:val="00BB7609"/>
    <w:rsid w:val="00BB7CB0"/>
    <w:rsid w:val="00BC1A01"/>
    <w:rsid w:val="00BC651E"/>
    <w:rsid w:val="00BC79E8"/>
    <w:rsid w:val="00BD142A"/>
    <w:rsid w:val="00BD1EC8"/>
    <w:rsid w:val="00BD55EE"/>
    <w:rsid w:val="00BD5E97"/>
    <w:rsid w:val="00BD68DD"/>
    <w:rsid w:val="00BE49BA"/>
    <w:rsid w:val="00BF0B76"/>
    <w:rsid w:val="00BF68D4"/>
    <w:rsid w:val="00BF6A31"/>
    <w:rsid w:val="00C0346E"/>
    <w:rsid w:val="00C0786B"/>
    <w:rsid w:val="00C134FE"/>
    <w:rsid w:val="00C16D5D"/>
    <w:rsid w:val="00C347B3"/>
    <w:rsid w:val="00C40E0B"/>
    <w:rsid w:val="00C47422"/>
    <w:rsid w:val="00C52149"/>
    <w:rsid w:val="00C57D40"/>
    <w:rsid w:val="00C60A1D"/>
    <w:rsid w:val="00C63B2D"/>
    <w:rsid w:val="00C70A91"/>
    <w:rsid w:val="00C70CD7"/>
    <w:rsid w:val="00C70E5B"/>
    <w:rsid w:val="00C71BDE"/>
    <w:rsid w:val="00C77250"/>
    <w:rsid w:val="00C87CCC"/>
    <w:rsid w:val="00C87D2F"/>
    <w:rsid w:val="00C95A6A"/>
    <w:rsid w:val="00C970AC"/>
    <w:rsid w:val="00CA30B1"/>
    <w:rsid w:val="00CA667A"/>
    <w:rsid w:val="00CA71E3"/>
    <w:rsid w:val="00CC2410"/>
    <w:rsid w:val="00CC6010"/>
    <w:rsid w:val="00CC6EED"/>
    <w:rsid w:val="00CD324F"/>
    <w:rsid w:val="00CD4985"/>
    <w:rsid w:val="00CD544B"/>
    <w:rsid w:val="00CE0E56"/>
    <w:rsid w:val="00CE66C5"/>
    <w:rsid w:val="00CE6922"/>
    <w:rsid w:val="00CF126B"/>
    <w:rsid w:val="00D06211"/>
    <w:rsid w:val="00D10A34"/>
    <w:rsid w:val="00D21D0B"/>
    <w:rsid w:val="00D2604B"/>
    <w:rsid w:val="00D261F2"/>
    <w:rsid w:val="00D31A8B"/>
    <w:rsid w:val="00D3207F"/>
    <w:rsid w:val="00D41DAB"/>
    <w:rsid w:val="00D627D8"/>
    <w:rsid w:val="00D64228"/>
    <w:rsid w:val="00D6440E"/>
    <w:rsid w:val="00D7020A"/>
    <w:rsid w:val="00D70C84"/>
    <w:rsid w:val="00D71C83"/>
    <w:rsid w:val="00D744FE"/>
    <w:rsid w:val="00D758DA"/>
    <w:rsid w:val="00D905C8"/>
    <w:rsid w:val="00D941C0"/>
    <w:rsid w:val="00D97B47"/>
    <w:rsid w:val="00DA3062"/>
    <w:rsid w:val="00DA3B91"/>
    <w:rsid w:val="00DB2259"/>
    <w:rsid w:val="00DC5F8D"/>
    <w:rsid w:val="00DD1C02"/>
    <w:rsid w:val="00DD3AEA"/>
    <w:rsid w:val="00DD62DE"/>
    <w:rsid w:val="00DE3339"/>
    <w:rsid w:val="00DE4A7C"/>
    <w:rsid w:val="00DF3911"/>
    <w:rsid w:val="00DF5890"/>
    <w:rsid w:val="00E00CAA"/>
    <w:rsid w:val="00E03219"/>
    <w:rsid w:val="00E03D29"/>
    <w:rsid w:val="00E11CCB"/>
    <w:rsid w:val="00E13844"/>
    <w:rsid w:val="00E15329"/>
    <w:rsid w:val="00E1713C"/>
    <w:rsid w:val="00E2146A"/>
    <w:rsid w:val="00E21A9C"/>
    <w:rsid w:val="00E21C42"/>
    <w:rsid w:val="00E221D6"/>
    <w:rsid w:val="00E23CC1"/>
    <w:rsid w:val="00E26767"/>
    <w:rsid w:val="00E27D3C"/>
    <w:rsid w:val="00E32EAA"/>
    <w:rsid w:val="00E37EBB"/>
    <w:rsid w:val="00E4098D"/>
    <w:rsid w:val="00E42F44"/>
    <w:rsid w:val="00E44A98"/>
    <w:rsid w:val="00E467CB"/>
    <w:rsid w:val="00E52543"/>
    <w:rsid w:val="00E529BF"/>
    <w:rsid w:val="00E52ABE"/>
    <w:rsid w:val="00E53716"/>
    <w:rsid w:val="00E56AB4"/>
    <w:rsid w:val="00E57D8F"/>
    <w:rsid w:val="00E63440"/>
    <w:rsid w:val="00E65E18"/>
    <w:rsid w:val="00E7548C"/>
    <w:rsid w:val="00E80194"/>
    <w:rsid w:val="00EB26F2"/>
    <w:rsid w:val="00EC1195"/>
    <w:rsid w:val="00EC3CBA"/>
    <w:rsid w:val="00EC5457"/>
    <w:rsid w:val="00EC5EC2"/>
    <w:rsid w:val="00EC7B89"/>
    <w:rsid w:val="00ED4133"/>
    <w:rsid w:val="00EE2931"/>
    <w:rsid w:val="00EE3DD6"/>
    <w:rsid w:val="00EE6E98"/>
    <w:rsid w:val="00EE7124"/>
    <w:rsid w:val="00EE7F7D"/>
    <w:rsid w:val="00EF1141"/>
    <w:rsid w:val="00EF6445"/>
    <w:rsid w:val="00F0047E"/>
    <w:rsid w:val="00F0313A"/>
    <w:rsid w:val="00F05096"/>
    <w:rsid w:val="00F146EA"/>
    <w:rsid w:val="00F2486B"/>
    <w:rsid w:val="00F347DB"/>
    <w:rsid w:val="00F349F4"/>
    <w:rsid w:val="00F36545"/>
    <w:rsid w:val="00F501FB"/>
    <w:rsid w:val="00F51538"/>
    <w:rsid w:val="00F54D86"/>
    <w:rsid w:val="00F60AB7"/>
    <w:rsid w:val="00F61E54"/>
    <w:rsid w:val="00F63824"/>
    <w:rsid w:val="00F64AB9"/>
    <w:rsid w:val="00F67337"/>
    <w:rsid w:val="00F8271C"/>
    <w:rsid w:val="00F82E21"/>
    <w:rsid w:val="00F87CB7"/>
    <w:rsid w:val="00F90E29"/>
    <w:rsid w:val="00F910E8"/>
    <w:rsid w:val="00F93CA5"/>
    <w:rsid w:val="00FA5280"/>
    <w:rsid w:val="00FB5AFC"/>
    <w:rsid w:val="00FC66AD"/>
    <w:rsid w:val="00FD0E6E"/>
    <w:rsid w:val="00FD22C6"/>
    <w:rsid w:val="00FD2516"/>
    <w:rsid w:val="00FD27BB"/>
    <w:rsid w:val="00FD7642"/>
    <w:rsid w:val="00FE25F3"/>
    <w:rsid w:val="00FE2C54"/>
    <w:rsid w:val="00FE38E6"/>
    <w:rsid w:val="00FE58BF"/>
    <w:rsid w:val="00FE5F01"/>
    <w:rsid w:val="00FE6C42"/>
    <w:rsid w:val="00FF3182"/>
    <w:rsid w:val="00FF5790"/>
    <w:rsid w:val="00FF6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327B228"/>
  <w15:chartTrackingRefBased/>
  <w15:docId w15:val="{2AF4D735-162F-41F8-B76D-BA27B8EC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8DD"/>
    <w:rPr>
      <w:rFonts w:ascii="Times New Roman" w:hAnsi="Times New Roman"/>
      <w:sz w:val="24"/>
    </w:rPr>
  </w:style>
  <w:style w:type="paragraph" w:styleId="Heading1">
    <w:name w:val="heading 1"/>
    <w:basedOn w:val="Normal"/>
    <w:next w:val="Normal"/>
    <w:link w:val="Heading1Char"/>
    <w:uiPriority w:val="9"/>
    <w:qFormat/>
    <w:rsid w:val="00A61B8B"/>
    <w:pPr>
      <w:jc w:val="center"/>
      <w:outlineLvl w:val="0"/>
    </w:pPr>
    <w:rPr>
      <w:b/>
      <w:bCs/>
    </w:rPr>
  </w:style>
  <w:style w:type="paragraph" w:styleId="Heading2">
    <w:name w:val="heading 2"/>
    <w:basedOn w:val="ListParagraph"/>
    <w:next w:val="Normal"/>
    <w:link w:val="Heading2Char"/>
    <w:uiPriority w:val="9"/>
    <w:unhideWhenUsed/>
    <w:qFormat/>
    <w:rsid w:val="00A61B8B"/>
    <w:pPr>
      <w:numPr>
        <w:numId w:val="1"/>
      </w:numPr>
      <w:spacing w:after="0" w:line="480" w:lineRule="auto"/>
      <w:ind w:left="720"/>
      <w:outlineLvl w:val="1"/>
    </w:pPr>
    <w:rPr>
      <w:b/>
      <w:bCs/>
    </w:rPr>
  </w:style>
  <w:style w:type="paragraph" w:styleId="Heading3">
    <w:name w:val="heading 3"/>
    <w:basedOn w:val="ListParagraph"/>
    <w:next w:val="Normal"/>
    <w:link w:val="Heading3Char"/>
    <w:uiPriority w:val="9"/>
    <w:unhideWhenUsed/>
    <w:qFormat/>
    <w:rsid w:val="00A61B8B"/>
    <w:pPr>
      <w:numPr>
        <w:numId w:val="3"/>
      </w:numPr>
      <w:spacing w:after="0"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445"/>
    <w:pPr>
      <w:ind w:left="720"/>
      <w:contextualSpacing/>
    </w:pPr>
  </w:style>
  <w:style w:type="paragraph" w:styleId="Header">
    <w:name w:val="header"/>
    <w:basedOn w:val="Normal"/>
    <w:link w:val="HeaderChar"/>
    <w:uiPriority w:val="99"/>
    <w:unhideWhenUsed/>
    <w:rsid w:val="009A1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249"/>
    <w:rPr>
      <w:rFonts w:ascii="Times New Roman" w:hAnsi="Times New Roman"/>
      <w:sz w:val="24"/>
    </w:rPr>
  </w:style>
  <w:style w:type="paragraph" w:styleId="Footer">
    <w:name w:val="footer"/>
    <w:basedOn w:val="Normal"/>
    <w:link w:val="FooterChar"/>
    <w:uiPriority w:val="99"/>
    <w:unhideWhenUsed/>
    <w:rsid w:val="009A1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249"/>
    <w:rPr>
      <w:rFonts w:ascii="Times New Roman" w:hAnsi="Times New Roman"/>
      <w:sz w:val="24"/>
    </w:rPr>
  </w:style>
  <w:style w:type="table" w:styleId="TableGrid">
    <w:name w:val="Table Grid"/>
    <w:basedOn w:val="TableNormal"/>
    <w:uiPriority w:val="39"/>
    <w:rsid w:val="006D0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1B8B"/>
    <w:rPr>
      <w:rFonts w:ascii="Times New Roman" w:hAnsi="Times New Roman"/>
      <w:b/>
      <w:bCs/>
      <w:sz w:val="24"/>
    </w:rPr>
  </w:style>
  <w:style w:type="character" w:customStyle="1" w:styleId="Heading2Char">
    <w:name w:val="Heading 2 Char"/>
    <w:basedOn w:val="DefaultParagraphFont"/>
    <w:link w:val="Heading2"/>
    <w:uiPriority w:val="9"/>
    <w:rsid w:val="00A61B8B"/>
    <w:rPr>
      <w:rFonts w:ascii="Times New Roman" w:hAnsi="Times New Roman"/>
      <w:b/>
      <w:bCs/>
      <w:sz w:val="24"/>
    </w:rPr>
  </w:style>
  <w:style w:type="character" w:customStyle="1" w:styleId="Heading3Char">
    <w:name w:val="Heading 3 Char"/>
    <w:basedOn w:val="DefaultParagraphFont"/>
    <w:link w:val="Heading3"/>
    <w:uiPriority w:val="9"/>
    <w:rsid w:val="00A61B8B"/>
    <w:rPr>
      <w:rFonts w:ascii="Times New Roman" w:hAnsi="Times New Roman"/>
      <w:b/>
      <w:bCs/>
      <w:sz w:val="24"/>
    </w:rPr>
  </w:style>
  <w:style w:type="paragraph" w:styleId="BodyText">
    <w:name w:val="Body Text"/>
    <w:basedOn w:val="Normal"/>
    <w:link w:val="BodyTextChar"/>
    <w:uiPriority w:val="99"/>
    <w:semiHidden/>
    <w:unhideWhenUsed/>
    <w:rsid w:val="00BF0B76"/>
    <w:pPr>
      <w:spacing w:after="120"/>
    </w:pPr>
  </w:style>
  <w:style w:type="character" w:customStyle="1" w:styleId="BodyTextChar">
    <w:name w:val="Body Text Char"/>
    <w:basedOn w:val="DefaultParagraphFont"/>
    <w:link w:val="BodyText"/>
    <w:uiPriority w:val="99"/>
    <w:semiHidden/>
    <w:rsid w:val="00BF0B76"/>
    <w:rPr>
      <w:rFonts w:ascii="Times New Roman" w:hAnsi="Times New Roman"/>
      <w:sz w:val="24"/>
    </w:rPr>
  </w:style>
  <w:style w:type="character" w:styleId="CommentReference">
    <w:name w:val="annotation reference"/>
    <w:basedOn w:val="DefaultParagraphFont"/>
    <w:uiPriority w:val="99"/>
    <w:semiHidden/>
    <w:unhideWhenUsed/>
    <w:rsid w:val="002F3B50"/>
    <w:rPr>
      <w:sz w:val="16"/>
      <w:szCs w:val="16"/>
    </w:rPr>
  </w:style>
  <w:style w:type="paragraph" w:styleId="CommentText">
    <w:name w:val="annotation text"/>
    <w:basedOn w:val="Normal"/>
    <w:link w:val="CommentTextChar"/>
    <w:uiPriority w:val="99"/>
    <w:unhideWhenUsed/>
    <w:rsid w:val="002F3B50"/>
    <w:pPr>
      <w:spacing w:line="240" w:lineRule="auto"/>
    </w:pPr>
    <w:rPr>
      <w:sz w:val="20"/>
      <w:szCs w:val="20"/>
    </w:rPr>
  </w:style>
  <w:style w:type="character" w:customStyle="1" w:styleId="CommentTextChar">
    <w:name w:val="Comment Text Char"/>
    <w:basedOn w:val="DefaultParagraphFont"/>
    <w:link w:val="CommentText"/>
    <w:uiPriority w:val="99"/>
    <w:rsid w:val="002F3B5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F3B50"/>
    <w:rPr>
      <w:b/>
      <w:bCs/>
    </w:rPr>
  </w:style>
  <w:style w:type="character" w:customStyle="1" w:styleId="CommentSubjectChar">
    <w:name w:val="Comment Subject Char"/>
    <w:basedOn w:val="CommentTextChar"/>
    <w:link w:val="CommentSubject"/>
    <w:uiPriority w:val="99"/>
    <w:semiHidden/>
    <w:rsid w:val="002F3B50"/>
    <w:rPr>
      <w:rFonts w:ascii="Times New Roman" w:hAnsi="Times New Roman"/>
      <w:b/>
      <w:bCs/>
      <w:sz w:val="20"/>
      <w:szCs w:val="20"/>
    </w:rPr>
  </w:style>
  <w:style w:type="paragraph" w:styleId="Revision">
    <w:name w:val="Revision"/>
    <w:hidden/>
    <w:uiPriority w:val="99"/>
    <w:semiHidden/>
    <w:rsid w:val="00130A7D"/>
    <w:pPr>
      <w:spacing w:after="0" w:line="240" w:lineRule="auto"/>
    </w:pPr>
    <w:rPr>
      <w:rFonts w:ascii="Times New Roman" w:hAnsi="Times New Roman"/>
      <w:sz w:val="24"/>
    </w:rPr>
  </w:style>
  <w:style w:type="paragraph" w:styleId="TOC1">
    <w:name w:val="toc 1"/>
    <w:basedOn w:val="Normal"/>
    <w:next w:val="Normal"/>
    <w:autoRedefine/>
    <w:uiPriority w:val="39"/>
    <w:unhideWhenUsed/>
    <w:rsid w:val="00F146EA"/>
    <w:pPr>
      <w:tabs>
        <w:tab w:val="right" w:leader="dot" w:pos="9350"/>
      </w:tabs>
      <w:spacing w:after="100"/>
      <w:jc w:val="center"/>
    </w:pPr>
  </w:style>
  <w:style w:type="paragraph" w:styleId="TOC2">
    <w:name w:val="toc 2"/>
    <w:basedOn w:val="Normal"/>
    <w:next w:val="Normal"/>
    <w:autoRedefine/>
    <w:uiPriority w:val="39"/>
    <w:unhideWhenUsed/>
    <w:rsid w:val="00E529BF"/>
    <w:pPr>
      <w:tabs>
        <w:tab w:val="left" w:pos="880"/>
        <w:tab w:val="right" w:leader="dot" w:pos="9350"/>
      </w:tabs>
      <w:spacing w:after="100"/>
      <w:ind w:left="240"/>
    </w:pPr>
  </w:style>
  <w:style w:type="paragraph" w:styleId="TOC3">
    <w:name w:val="toc 3"/>
    <w:basedOn w:val="Normal"/>
    <w:next w:val="Normal"/>
    <w:autoRedefine/>
    <w:uiPriority w:val="39"/>
    <w:unhideWhenUsed/>
    <w:rsid w:val="00E529BF"/>
    <w:pPr>
      <w:tabs>
        <w:tab w:val="left" w:pos="1100"/>
        <w:tab w:val="right" w:leader="dot" w:pos="9350"/>
      </w:tabs>
      <w:spacing w:after="100"/>
      <w:ind w:left="1080" w:hanging="630"/>
    </w:pPr>
  </w:style>
  <w:style w:type="character" w:styleId="Hyperlink">
    <w:name w:val="Hyperlink"/>
    <w:basedOn w:val="DefaultParagraphFont"/>
    <w:uiPriority w:val="99"/>
    <w:unhideWhenUsed/>
    <w:rsid w:val="00FA5280"/>
    <w:rPr>
      <w:color w:val="0563C1" w:themeColor="hyperlink"/>
      <w:u w:val="single"/>
    </w:rPr>
  </w:style>
  <w:style w:type="paragraph" w:styleId="FootnoteText">
    <w:name w:val="footnote text"/>
    <w:basedOn w:val="Normal"/>
    <w:link w:val="FootnoteTextChar"/>
    <w:uiPriority w:val="99"/>
    <w:semiHidden/>
    <w:unhideWhenUsed/>
    <w:rsid w:val="002B2E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2E70"/>
    <w:rPr>
      <w:rFonts w:ascii="Times New Roman" w:hAnsi="Times New Roman"/>
      <w:sz w:val="20"/>
      <w:szCs w:val="20"/>
    </w:rPr>
  </w:style>
  <w:style w:type="character" w:styleId="FootnoteReference">
    <w:name w:val="footnote reference"/>
    <w:basedOn w:val="DefaultParagraphFont"/>
    <w:uiPriority w:val="99"/>
    <w:semiHidden/>
    <w:unhideWhenUsed/>
    <w:rsid w:val="002B2E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581349">
      <w:bodyDiv w:val="1"/>
      <w:marLeft w:val="0"/>
      <w:marRight w:val="0"/>
      <w:marTop w:val="0"/>
      <w:marBottom w:val="0"/>
      <w:divBdr>
        <w:top w:val="none" w:sz="0" w:space="0" w:color="auto"/>
        <w:left w:val="none" w:sz="0" w:space="0" w:color="auto"/>
        <w:bottom w:val="none" w:sz="0" w:space="0" w:color="auto"/>
        <w:right w:val="none" w:sz="0" w:space="0" w:color="auto"/>
      </w:divBdr>
      <w:divsChild>
        <w:div w:id="2083990555">
          <w:marLeft w:val="0"/>
          <w:marRight w:val="0"/>
          <w:marTop w:val="240"/>
          <w:marBottom w:val="0"/>
          <w:divBdr>
            <w:top w:val="none" w:sz="0" w:space="0" w:color="auto"/>
            <w:left w:val="none" w:sz="0" w:space="0" w:color="auto"/>
            <w:bottom w:val="none" w:sz="0" w:space="0" w:color="auto"/>
            <w:right w:val="none" w:sz="0" w:space="0" w:color="auto"/>
          </w:divBdr>
          <w:divsChild>
            <w:div w:id="347412004">
              <w:marLeft w:val="0"/>
              <w:marRight w:val="0"/>
              <w:marTop w:val="0"/>
              <w:marBottom w:val="0"/>
              <w:divBdr>
                <w:top w:val="none" w:sz="0" w:space="0" w:color="auto"/>
                <w:left w:val="none" w:sz="0" w:space="0" w:color="auto"/>
                <w:bottom w:val="none" w:sz="0" w:space="0" w:color="auto"/>
                <w:right w:val="none" w:sz="0" w:space="0" w:color="auto"/>
              </w:divBdr>
              <w:divsChild>
                <w:div w:id="28215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435267">
      <w:bodyDiv w:val="1"/>
      <w:marLeft w:val="0"/>
      <w:marRight w:val="0"/>
      <w:marTop w:val="0"/>
      <w:marBottom w:val="0"/>
      <w:divBdr>
        <w:top w:val="none" w:sz="0" w:space="0" w:color="auto"/>
        <w:left w:val="none" w:sz="0" w:space="0" w:color="auto"/>
        <w:bottom w:val="none" w:sz="0" w:space="0" w:color="auto"/>
        <w:right w:val="none" w:sz="0" w:space="0" w:color="auto"/>
      </w:divBdr>
      <w:divsChild>
        <w:div w:id="632253380">
          <w:marLeft w:val="0"/>
          <w:marRight w:val="0"/>
          <w:marTop w:val="240"/>
          <w:marBottom w:val="0"/>
          <w:divBdr>
            <w:top w:val="none" w:sz="0" w:space="0" w:color="auto"/>
            <w:left w:val="none" w:sz="0" w:space="0" w:color="auto"/>
            <w:bottom w:val="none" w:sz="0" w:space="0" w:color="auto"/>
            <w:right w:val="none" w:sz="0" w:space="0" w:color="auto"/>
          </w:divBdr>
          <w:divsChild>
            <w:div w:id="1688172663">
              <w:marLeft w:val="0"/>
              <w:marRight w:val="0"/>
              <w:marTop w:val="0"/>
              <w:marBottom w:val="0"/>
              <w:divBdr>
                <w:top w:val="none" w:sz="0" w:space="0" w:color="auto"/>
                <w:left w:val="none" w:sz="0" w:space="0" w:color="auto"/>
                <w:bottom w:val="none" w:sz="0" w:space="0" w:color="auto"/>
                <w:right w:val="none" w:sz="0" w:space="0" w:color="auto"/>
              </w:divBdr>
              <w:divsChild>
                <w:div w:id="100882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232499">
      <w:bodyDiv w:val="1"/>
      <w:marLeft w:val="0"/>
      <w:marRight w:val="0"/>
      <w:marTop w:val="0"/>
      <w:marBottom w:val="0"/>
      <w:divBdr>
        <w:top w:val="none" w:sz="0" w:space="0" w:color="auto"/>
        <w:left w:val="none" w:sz="0" w:space="0" w:color="auto"/>
        <w:bottom w:val="none" w:sz="0" w:space="0" w:color="auto"/>
        <w:right w:val="none" w:sz="0" w:space="0" w:color="auto"/>
      </w:divBdr>
    </w:div>
    <w:div w:id="1360011341">
      <w:bodyDiv w:val="1"/>
      <w:marLeft w:val="0"/>
      <w:marRight w:val="0"/>
      <w:marTop w:val="0"/>
      <w:marBottom w:val="0"/>
      <w:divBdr>
        <w:top w:val="none" w:sz="0" w:space="0" w:color="auto"/>
        <w:left w:val="none" w:sz="0" w:space="0" w:color="auto"/>
        <w:bottom w:val="none" w:sz="0" w:space="0" w:color="auto"/>
        <w:right w:val="none" w:sz="0" w:space="0" w:color="auto"/>
      </w:divBdr>
      <w:divsChild>
        <w:div w:id="567420352">
          <w:marLeft w:val="0"/>
          <w:marRight w:val="0"/>
          <w:marTop w:val="240"/>
          <w:marBottom w:val="0"/>
          <w:divBdr>
            <w:top w:val="none" w:sz="0" w:space="0" w:color="auto"/>
            <w:left w:val="none" w:sz="0" w:space="0" w:color="auto"/>
            <w:bottom w:val="none" w:sz="0" w:space="0" w:color="auto"/>
            <w:right w:val="none" w:sz="0" w:space="0" w:color="auto"/>
          </w:divBdr>
          <w:divsChild>
            <w:div w:id="610671448">
              <w:marLeft w:val="0"/>
              <w:marRight w:val="0"/>
              <w:marTop w:val="0"/>
              <w:marBottom w:val="0"/>
              <w:divBdr>
                <w:top w:val="none" w:sz="0" w:space="0" w:color="auto"/>
                <w:left w:val="none" w:sz="0" w:space="0" w:color="auto"/>
                <w:bottom w:val="none" w:sz="0" w:space="0" w:color="auto"/>
                <w:right w:val="none" w:sz="0" w:space="0" w:color="auto"/>
              </w:divBdr>
              <w:divsChild>
                <w:div w:id="19632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37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E5C76-50DD-4A54-8CEB-E4ED2B24E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57</Pages>
  <Words>15382</Words>
  <Characters>83067</Characters>
  <Application>Microsoft Office Word</Application>
  <DocSecurity>0</DocSecurity>
  <PresentationFormat/>
  <Lines>1295</Lines>
  <Paragraphs>397</Paragraphs>
  <ScaleCrop>false</ScaleCrop>
  <HeadingPairs>
    <vt:vector size="2" baseType="variant">
      <vt:variant>
        <vt:lpstr>Title</vt:lpstr>
      </vt:variant>
      <vt:variant>
        <vt:i4>1</vt:i4>
      </vt:variant>
    </vt:vector>
  </HeadingPairs>
  <TitlesOfParts>
    <vt:vector size="1" baseType="lpstr">
      <vt:lpstr>Intro, Standard, and 20.2.50.2 Proposed Reasons Draft (01369380-15).DOCX</vt:lpstr>
    </vt:vector>
  </TitlesOfParts>
  <Company/>
  <LinksUpToDate>false</LinksUpToDate>
  <CharactersWithSpaces>98752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 Standard, and 20.2.50.2 Proposed Reasons Draft (01369380-15).DOCX</dc:title>
  <dc:subject>wdNOSTAMP</dc:subject>
  <dc:creator>Kristen Burby</dc:creator>
  <cp:keywords/>
  <dc:description>DO NOT STAMP </dc:description>
  <cp:lastModifiedBy>Kristen Burby</cp:lastModifiedBy>
  <cp:revision>21</cp:revision>
  <dcterms:created xsi:type="dcterms:W3CDTF">2022-01-20T16:58:00Z</dcterms:created>
  <dcterms:modified xsi:type="dcterms:W3CDTF">2022-01-20T21:44:00Z</dcterms:modified>
</cp:coreProperties>
</file>