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E913E" w14:textId="77777777" w:rsidR="00B02F67" w:rsidRPr="00C53EB5" w:rsidRDefault="00B02F67" w:rsidP="00B02F67">
      <w:pPr>
        <w:spacing w:after="0" w:line="240" w:lineRule="auto"/>
        <w:jc w:val="center"/>
        <w:rPr>
          <w:rFonts w:cs="Times New Roman"/>
          <w:b/>
          <w:color w:val="000000" w:themeColor="text1"/>
          <w:szCs w:val="24"/>
        </w:rPr>
      </w:pPr>
      <w:r w:rsidRPr="00C53EB5">
        <w:rPr>
          <w:rFonts w:cs="Times New Roman"/>
          <w:b/>
          <w:color w:val="000000" w:themeColor="text1"/>
          <w:szCs w:val="24"/>
        </w:rPr>
        <w:t>STATE OF NEW MEXICO</w:t>
      </w:r>
    </w:p>
    <w:p w14:paraId="5376F208" w14:textId="77777777" w:rsidR="00B02F67" w:rsidRPr="00C53EB5" w:rsidRDefault="00B02F67" w:rsidP="00B02F67">
      <w:pPr>
        <w:spacing w:after="600" w:line="240" w:lineRule="auto"/>
        <w:jc w:val="center"/>
        <w:rPr>
          <w:rFonts w:cs="Times New Roman"/>
          <w:b/>
          <w:color w:val="000000" w:themeColor="text1"/>
          <w:szCs w:val="24"/>
        </w:rPr>
      </w:pPr>
      <w:r w:rsidRPr="00C53EB5">
        <w:rPr>
          <w:rFonts w:cs="Times New Roman"/>
          <w:b/>
          <w:color w:val="000000" w:themeColor="text1"/>
          <w:szCs w:val="24"/>
        </w:rPr>
        <w:t>BEFORE THE ENVIRONMENTAL IMPROVEMENT BOARD</w:t>
      </w:r>
    </w:p>
    <w:p w14:paraId="152FF626" w14:textId="77777777" w:rsidR="00B02F67" w:rsidRPr="00C53EB5" w:rsidRDefault="00B02F67" w:rsidP="00B02F67">
      <w:pPr>
        <w:spacing w:after="240" w:line="240" w:lineRule="auto"/>
        <w:jc w:val="both"/>
        <w:rPr>
          <w:rFonts w:cs="Times New Roman"/>
          <w:b/>
          <w:color w:val="000000" w:themeColor="text1"/>
          <w:szCs w:val="24"/>
        </w:rPr>
      </w:pPr>
      <w:r w:rsidRPr="00C53EB5">
        <w:rPr>
          <w:rFonts w:cs="Times New Roman"/>
          <w:b/>
          <w:color w:val="000000" w:themeColor="text1"/>
          <w:szCs w:val="24"/>
        </w:rPr>
        <w:t>IN THE MATTER OF:</w:t>
      </w:r>
    </w:p>
    <w:p w14:paraId="6C02D017" w14:textId="77777777" w:rsidR="00B02F67" w:rsidRPr="00C53EB5" w:rsidRDefault="00B02F67" w:rsidP="00B02F67">
      <w:pPr>
        <w:spacing w:after="0" w:line="240" w:lineRule="auto"/>
        <w:jc w:val="both"/>
        <w:rPr>
          <w:rFonts w:cs="Times New Roman"/>
          <w:b/>
          <w:color w:val="000000" w:themeColor="text1"/>
          <w:szCs w:val="24"/>
        </w:rPr>
      </w:pPr>
      <w:r w:rsidRPr="00C53EB5">
        <w:rPr>
          <w:rFonts w:cs="Times New Roman"/>
          <w:b/>
          <w:color w:val="000000" w:themeColor="text1"/>
          <w:szCs w:val="24"/>
        </w:rPr>
        <w:t>PROPOSED NEW REGULATION</w:t>
      </w:r>
    </w:p>
    <w:p w14:paraId="42F5FCB7" w14:textId="5181D25D" w:rsidR="00B02F67" w:rsidRPr="00C53EB5" w:rsidRDefault="00B02F67" w:rsidP="00B02F67">
      <w:pPr>
        <w:spacing w:after="0" w:line="240" w:lineRule="auto"/>
        <w:jc w:val="both"/>
        <w:rPr>
          <w:rFonts w:cs="Times New Roman"/>
          <w:b/>
          <w:color w:val="000000" w:themeColor="text1"/>
          <w:szCs w:val="24"/>
        </w:rPr>
      </w:pPr>
      <w:r w:rsidRPr="00C53EB5">
        <w:rPr>
          <w:rFonts w:cs="Times New Roman"/>
          <w:b/>
          <w:i/>
          <w:color w:val="000000" w:themeColor="text1"/>
          <w:szCs w:val="24"/>
        </w:rPr>
        <w:t>20.2.50</w:t>
      </w:r>
      <w:r w:rsidRPr="00C53EB5">
        <w:rPr>
          <w:rFonts w:cs="Times New Roman"/>
          <w:b/>
          <w:i/>
          <w:color w:val="000000" w:themeColor="text1"/>
          <w:szCs w:val="24"/>
        </w:rPr>
        <w:tab/>
      </w:r>
      <w:r w:rsidRPr="00C53EB5">
        <w:rPr>
          <w:rFonts w:cs="Times New Roman"/>
          <w:b/>
          <w:i/>
          <w:color w:val="000000" w:themeColor="text1"/>
          <w:szCs w:val="24"/>
        </w:rPr>
        <w:tab/>
      </w:r>
      <w:r w:rsidRPr="00C53EB5">
        <w:rPr>
          <w:rFonts w:cs="Times New Roman"/>
          <w:b/>
          <w:i/>
          <w:color w:val="000000" w:themeColor="text1"/>
          <w:szCs w:val="24"/>
        </w:rPr>
        <w:tab/>
      </w:r>
      <w:r w:rsidRPr="00C53EB5">
        <w:rPr>
          <w:rFonts w:cs="Times New Roman"/>
          <w:b/>
          <w:i/>
          <w:color w:val="000000" w:themeColor="text1"/>
          <w:szCs w:val="24"/>
        </w:rPr>
        <w:tab/>
      </w:r>
      <w:r w:rsidRPr="00C53EB5">
        <w:rPr>
          <w:rFonts w:cs="Times New Roman"/>
          <w:b/>
          <w:i/>
          <w:color w:val="000000" w:themeColor="text1"/>
          <w:szCs w:val="24"/>
        </w:rPr>
        <w:tab/>
      </w:r>
      <w:r w:rsidRPr="00C53EB5">
        <w:rPr>
          <w:rFonts w:cs="Times New Roman"/>
          <w:b/>
          <w:i/>
          <w:color w:val="000000" w:themeColor="text1"/>
          <w:szCs w:val="24"/>
        </w:rPr>
        <w:tab/>
      </w:r>
      <w:r w:rsidRPr="00C53EB5">
        <w:rPr>
          <w:rFonts w:cs="Times New Roman"/>
          <w:b/>
          <w:i/>
          <w:color w:val="000000" w:themeColor="text1"/>
          <w:szCs w:val="24"/>
        </w:rPr>
        <w:tab/>
      </w:r>
      <w:r w:rsidRPr="00C53EB5">
        <w:rPr>
          <w:rFonts w:cs="Times New Roman"/>
          <w:b/>
          <w:color w:val="000000" w:themeColor="text1"/>
          <w:szCs w:val="24"/>
        </w:rPr>
        <w:tab/>
      </w:r>
      <w:r w:rsidRPr="00C53EB5">
        <w:rPr>
          <w:rFonts w:cs="Times New Roman"/>
          <w:b/>
          <w:color w:val="000000" w:themeColor="text1"/>
          <w:szCs w:val="24"/>
        </w:rPr>
        <w:tab/>
        <w:t xml:space="preserve">No.  </w:t>
      </w:r>
      <w:r w:rsidR="00274441">
        <w:rPr>
          <w:rFonts w:cs="Times New Roman"/>
          <w:b/>
          <w:color w:val="000000" w:themeColor="text1"/>
          <w:szCs w:val="24"/>
        </w:rPr>
        <w:t>EIB</w:t>
      </w:r>
      <w:r w:rsidRPr="00C53EB5">
        <w:rPr>
          <w:rFonts w:cs="Times New Roman"/>
          <w:b/>
          <w:color w:val="000000" w:themeColor="text1"/>
          <w:szCs w:val="24"/>
        </w:rPr>
        <w:t xml:space="preserve"> 21-27 (R)</w:t>
      </w:r>
    </w:p>
    <w:p w14:paraId="71ECC3C8" w14:textId="77777777" w:rsidR="00B02F67" w:rsidRPr="00C53EB5" w:rsidRDefault="00B02F67" w:rsidP="00B02F67">
      <w:pPr>
        <w:spacing w:after="0" w:line="240" w:lineRule="auto"/>
        <w:jc w:val="both"/>
        <w:rPr>
          <w:rFonts w:cs="Times New Roman"/>
          <w:b/>
          <w:color w:val="000000" w:themeColor="text1"/>
          <w:szCs w:val="24"/>
        </w:rPr>
      </w:pPr>
      <w:r w:rsidRPr="00C53EB5">
        <w:rPr>
          <w:rFonts w:cs="Times New Roman"/>
          <w:b/>
          <w:i/>
          <w:color w:val="000000" w:themeColor="text1"/>
          <w:szCs w:val="24"/>
        </w:rPr>
        <w:t>Oil and Gas Sector – Ozone Precursor Pollutants</w:t>
      </w:r>
    </w:p>
    <w:p w14:paraId="231FBE8D" w14:textId="77777777" w:rsidR="00B02F67" w:rsidRDefault="00B02F67" w:rsidP="00B02F67">
      <w:pPr>
        <w:spacing w:after="0" w:line="480" w:lineRule="auto"/>
        <w:rPr>
          <w:rFonts w:cs="Times New Roman"/>
          <w:b/>
          <w:bCs/>
          <w:szCs w:val="24"/>
          <w:u w:val="single"/>
        </w:rPr>
      </w:pPr>
    </w:p>
    <w:p w14:paraId="13DDFA79" w14:textId="77777777" w:rsidR="00B02F67" w:rsidRDefault="00B02F67" w:rsidP="00B02F67">
      <w:pPr>
        <w:jc w:val="center"/>
        <w:rPr>
          <w:b/>
          <w:u w:val="single"/>
        </w:rPr>
      </w:pPr>
      <w:r>
        <w:rPr>
          <w:b/>
          <w:u w:val="single"/>
        </w:rPr>
        <w:t>CLOSING ARGUMENTS BY NEW MEXICO OIL AND GAS ASSOCIATION</w:t>
      </w:r>
    </w:p>
    <w:p w14:paraId="45DE9FDD" w14:textId="6B9E5BBA" w:rsidR="00B02F67" w:rsidRDefault="00B02F67" w:rsidP="00B02F67">
      <w:pPr>
        <w:spacing w:after="0" w:line="480" w:lineRule="auto"/>
        <w:jc w:val="both"/>
        <w:rPr>
          <w:bCs/>
        </w:rPr>
      </w:pPr>
      <w:r>
        <w:rPr>
          <w:bCs/>
        </w:rPr>
        <w:tab/>
        <w:t xml:space="preserve">Pursuant to the “Procedural Order on Post-Hearing Process” filed in this matter on November 19, 2021, the New Mexico Oil and Gas Association (“NMOGA”) hereby submits its closing arguments, proposed statement of reasons, and an annotated redline in the </w:t>
      </w:r>
      <w:r w:rsidR="00A13169">
        <w:rPr>
          <w:bCs/>
        </w:rPr>
        <w:t>EIB</w:t>
      </w:r>
      <w:r>
        <w:rPr>
          <w:bCs/>
        </w:rPr>
        <w:t xml:space="preserve"> 21-27(R) proceeding.  </w:t>
      </w:r>
      <w:r w:rsidR="00276DAF">
        <w:rPr>
          <w:bCs/>
        </w:rPr>
        <w:t xml:space="preserve"> </w:t>
      </w:r>
      <w:r w:rsidR="00471B0E">
        <w:rPr>
          <w:bCs/>
        </w:rPr>
        <w:t xml:space="preserve"> </w:t>
      </w:r>
    </w:p>
    <w:p w14:paraId="08A7CC10" w14:textId="77777777" w:rsidR="00B02F67" w:rsidRDefault="00B02F67" w:rsidP="00B02F67">
      <w:pPr>
        <w:spacing w:after="0" w:line="480" w:lineRule="auto"/>
        <w:jc w:val="both"/>
        <w:rPr>
          <w:bCs/>
        </w:rPr>
      </w:pPr>
      <w:r>
        <w:rPr>
          <w:bCs/>
        </w:rPr>
        <w:tab/>
        <w:t xml:space="preserve">The New Mexico Environment Department (“NMED” or “Department”) proposes that the New Mexico Environmental Improvement Board (the “Board”) adopt </w:t>
      </w:r>
      <w:r w:rsidRPr="52E058CA">
        <w:t>a new</w:t>
      </w:r>
      <w:r>
        <w:rPr>
          <w:bCs/>
        </w:rPr>
        <w:t xml:space="preserve"> 20.2.50 NMAC to require additional control of ozone precursors emitted by oil and gas owners and operators located </w:t>
      </w:r>
      <w:r w:rsidRPr="00FE50C8">
        <w:rPr>
          <w:bCs/>
        </w:rPr>
        <w:t>within area</w:t>
      </w:r>
      <w:r>
        <w:rPr>
          <w:bCs/>
        </w:rPr>
        <w:t>s</w:t>
      </w:r>
      <w:r w:rsidRPr="00FE50C8">
        <w:rPr>
          <w:bCs/>
        </w:rPr>
        <w:t xml:space="preserve"> of the state where ozone concentrations exceed ninety-five percent of the primary national ambient air quality standard</w:t>
      </w:r>
      <w:r>
        <w:rPr>
          <w:bCs/>
        </w:rPr>
        <w:t xml:space="preserve">. </w:t>
      </w:r>
    </w:p>
    <w:p w14:paraId="284C2F12" w14:textId="677A0CBA" w:rsidR="00B02F67" w:rsidRDefault="00B02F67" w:rsidP="00B02F67">
      <w:pPr>
        <w:spacing w:after="0" w:line="480" w:lineRule="auto"/>
        <w:ind w:firstLine="720"/>
        <w:jc w:val="both"/>
        <w:rPr>
          <w:bCs/>
        </w:rPr>
      </w:pPr>
      <w:r>
        <w:rPr>
          <w:bCs/>
        </w:rPr>
        <w:t>NMOGA is a coalition of more than 1,000 oil and natural gas companies</w:t>
      </w:r>
      <w:r w:rsidR="006F0925">
        <w:rPr>
          <w:bCs/>
        </w:rPr>
        <w:t xml:space="preserve">. </w:t>
      </w:r>
      <w:r w:rsidR="00590A3F">
        <w:rPr>
          <w:bCs/>
        </w:rPr>
        <w:t>Industry suppliers,</w:t>
      </w:r>
      <w:r>
        <w:rPr>
          <w:bCs/>
        </w:rPr>
        <w:t xml:space="preserve"> and individuals operating in the state of New Mexico and has been engaged in this rulemaking effort since its inception. NMOGA members include all facets of oil and gas production, transportation, and delivery. NMOGA is the oldest and largest organization representing the oil and gas industry in New Mexico. Oil and gas production is the greatest economic contributor to the state of New Mexico, supporting more than 134,000 jobs and $17 billion in annual economic activity. In addition, taxes and royalties from the oil and gas industry </w:t>
      </w:r>
      <w:r>
        <w:rPr>
          <w:bCs/>
        </w:rPr>
        <w:lastRenderedPageBreak/>
        <w:t xml:space="preserve">account for $5.3 billion in public revenue which is 39% of New Mexico’s annual budget, including over $1.4 billion for public schools. </w:t>
      </w:r>
    </w:p>
    <w:p w14:paraId="0DB6944B" w14:textId="0EBFEFC0" w:rsidR="00274441" w:rsidRDefault="00B02F67" w:rsidP="00B02F67">
      <w:pPr>
        <w:spacing w:after="0" w:line="480" w:lineRule="auto"/>
        <w:ind w:firstLine="720"/>
        <w:jc w:val="both"/>
        <w:rPr>
          <w:bCs/>
        </w:rPr>
      </w:pPr>
      <w:r>
        <w:rPr>
          <w:bCs/>
        </w:rPr>
        <w:t>NMOGA’s goal is to achieve a workable rule that makes significant progress in reducing ozone precursor pollution. As a representative of so many entities regulated by this rule, NMOGA ask the Board to give serious consideration to its concerns and suggestions.</w:t>
      </w:r>
    </w:p>
    <w:p w14:paraId="745D5A02" w14:textId="77777777" w:rsidR="00274441" w:rsidRDefault="00274441">
      <w:pPr>
        <w:rPr>
          <w:bCs/>
        </w:rPr>
      </w:pPr>
      <w:r>
        <w:rPr>
          <w:bCs/>
        </w:rPr>
        <w:br w:type="page"/>
      </w:r>
    </w:p>
    <w:sdt>
      <w:sdtPr>
        <w:id w:val="-597093210"/>
        <w:docPartObj>
          <w:docPartGallery w:val="Table of Contents"/>
          <w:docPartUnique/>
        </w:docPartObj>
      </w:sdtPr>
      <w:sdtEndPr>
        <w:rPr>
          <w:b/>
          <w:bCs/>
          <w:noProof/>
        </w:rPr>
      </w:sdtEndPr>
      <w:sdtContent>
        <w:p w14:paraId="1E86098F" w14:textId="642C04C5" w:rsidR="00274441" w:rsidRPr="00274441" w:rsidRDefault="00274441" w:rsidP="00274441">
          <w:pPr>
            <w:jc w:val="center"/>
            <w:rPr>
              <w:b/>
              <w:bCs/>
            </w:rPr>
          </w:pPr>
          <w:r w:rsidRPr="00274441">
            <w:rPr>
              <w:b/>
              <w:bCs/>
            </w:rPr>
            <w:t>Table of Contents</w:t>
          </w:r>
        </w:p>
        <w:p w14:paraId="784A8F8E" w14:textId="1D56CDB8" w:rsidR="00274441" w:rsidRDefault="00274441" w:rsidP="00274441">
          <w:pPr>
            <w:pStyle w:val="TOC1"/>
            <w:tabs>
              <w:tab w:val="left" w:pos="480"/>
              <w:tab w:val="right" w:leader="dot" w:pos="9350"/>
            </w:tabs>
            <w:spacing w:after="240"/>
            <w:rPr>
              <w:rFonts w:asciiTheme="minorHAnsi" w:eastAsiaTheme="minorEastAsia" w:hAnsiTheme="minorHAnsi"/>
              <w:noProof/>
              <w:sz w:val="22"/>
            </w:rPr>
          </w:pPr>
          <w:r>
            <w:fldChar w:fldCharType="begin"/>
          </w:r>
          <w:r>
            <w:instrText xml:space="preserve"> TOC \o "1-3" \h \z \u </w:instrText>
          </w:r>
          <w:r>
            <w:fldChar w:fldCharType="separate"/>
          </w:r>
          <w:hyperlink w:anchor="_Toc93563245" w:history="1">
            <w:r w:rsidRPr="00655E3F">
              <w:rPr>
                <w:rStyle w:val="Hyperlink"/>
                <w:noProof/>
              </w:rPr>
              <w:t>I.</w:t>
            </w:r>
            <w:r>
              <w:rPr>
                <w:rFonts w:asciiTheme="minorHAnsi" w:eastAsiaTheme="minorEastAsia" w:hAnsiTheme="minorHAnsi"/>
                <w:noProof/>
                <w:sz w:val="22"/>
              </w:rPr>
              <w:tab/>
            </w:r>
            <w:r w:rsidRPr="00655E3F">
              <w:rPr>
                <w:rStyle w:val="Hyperlink"/>
                <w:noProof/>
              </w:rPr>
              <w:t>SUMMARY OF ARGUMENT</w:t>
            </w:r>
            <w:r>
              <w:rPr>
                <w:noProof/>
                <w:webHidden/>
              </w:rPr>
              <w:tab/>
            </w:r>
            <w:r>
              <w:rPr>
                <w:noProof/>
                <w:webHidden/>
              </w:rPr>
              <w:fldChar w:fldCharType="begin"/>
            </w:r>
            <w:r>
              <w:rPr>
                <w:noProof/>
                <w:webHidden/>
              </w:rPr>
              <w:instrText xml:space="preserve"> PAGEREF _Toc93563245 \h </w:instrText>
            </w:r>
            <w:r>
              <w:rPr>
                <w:noProof/>
                <w:webHidden/>
              </w:rPr>
            </w:r>
            <w:r>
              <w:rPr>
                <w:noProof/>
                <w:webHidden/>
              </w:rPr>
              <w:fldChar w:fldCharType="separate"/>
            </w:r>
            <w:r>
              <w:rPr>
                <w:noProof/>
                <w:webHidden/>
              </w:rPr>
              <w:t>5</w:t>
            </w:r>
            <w:r>
              <w:rPr>
                <w:noProof/>
                <w:webHidden/>
              </w:rPr>
              <w:fldChar w:fldCharType="end"/>
            </w:r>
          </w:hyperlink>
        </w:p>
        <w:p w14:paraId="5F7241E8" w14:textId="08E5AD31" w:rsidR="00274441" w:rsidRDefault="004160D5" w:rsidP="00274441">
          <w:pPr>
            <w:pStyle w:val="TOC1"/>
            <w:tabs>
              <w:tab w:val="left" w:pos="480"/>
              <w:tab w:val="right" w:leader="dot" w:pos="9350"/>
            </w:tabs>
            <w:spacing w:after="240"/>
            <w:rPr>
              <w:rFonts w:asciiTheme="minorHAnsi" w:eastAsiaTheme="minorEastAsia" w:hAnsiTheme="minorHAnsi"/>
              <w:noProof/>
              <w:sz w:val="22"/>
            </w:rPr>
          </w:pPr>
          <w:hyperlink w:anchor="_Toc93563246" w:history="1">
            <w:r w:rsidR="00274441" w:rsidRPr="00655E3F">
              <w:rPr>
                <w:rStyle w:val="Hyperlink"/>
                <w:noProof/>
              </w:rPr>
              <w:t>II.</w:t>
            </w:r>
            <w:r w:rsidR="00274441">
              <w:rPr>
                <w:rFonts w:asciiTheme="minorHAnsi" w:eastAsiaTheme="minorEastAsia" w:hAnsiTheme="minorHAnsi"/>
                <w:noProof/>
                <w:sz w:val="22"/>
              </w:rPr>
              <w:tab/>
            </w:r>
            <w:r w:rsidR="00274441" w:rsidRPr="00655E3F">
              <w:rPr>
                <w:rStyle w:val="Hyperlink"/>
                <w:noProof/>
              </w:rPr>
              <w:t>ARGUMENT</w:t>
            </w:r>
            <w:r w:rsidR="00274441">
              <w:rPr>
                <w:noProof/>
                <w:webHidden/>
              </w:rPr>
              <w:tab/>
            </w:r>
            <w:r w:rsidR="00274441">
              <w:rPr>
                <w:noProof/>
                <w:webHidden/>
              </w:rPr>
              <w:fldChar w:fldCharType="begin"/>
            </w:r>
            <w:r w:rsidR="00274441">
              <w:rPr>
                <w:noProof/>
                <w:webHidden/>
              </w:rPr>
              <w:instrText xml:space="preserve"> PAGEREF _Toc93563246 \h </w:instrText>
            </w:r>
            <w:r w:rsidR="00274441">
              <w:rPr>
                <w:noProof/>
                <w:webHidden/>
              </w:rPr>
            </w:r>
            <w:r w:rsidR="00274441">
              <w:rPr>
                <w:noProof/>
                <w:webHidden/>
              </w:rPr>
              <w:fldChar w:fldCharType="separate"/>
            </w:r>
            <w:r w:rsidR="00274441">
              <w:rPr>
                <w:noProof/>
                <w:webHidden/>
              </w:rPr>
              <w:t>10</w:t>
            </w:r>
            <w:r w:rsidR="00274441">
              <w:rPr>
                <w:noProof/>
                <w:webHidden/>
              </w:rPr>
              <w:fldChar w:fldCharType="end"/>
            </w:r>
          </w:hyperlink>
        </w:p>
        <w:p w14:paraId="3D573CEB" w14:textId="0B686576" w:rsidR="00274441" w:rsidRDefault="004160D5" w:rsidP="00274441">
          <w:pPr>
            <w:pStyle w:val="TOC2"/>
            <w:tabs>
              <w:tab w:val="left" w:pos="880"/>
              <w:tab w:val="right" w:leader="dot" w:pos="9350"/>
            </w:tabs>
            <w:spacing w:after="240"/>
            <w:rPr>
              <w:rFonts w:asciiTheme="minorHAnsi" w:eastAsiaTheme="minorEastAsia" w:hAnsiTheme="minorHAnsi"/>
              <w:noProof/>
              <w:sz w:val="22"/>
            </w:rPr>
          </w:pPr>
          <w:hyperlink w:anchor="_Toc93563247" w:history="1">
            <w:r w:rsidR="00274441" w:rsidRPr="00655E3F">
              <w:rPr>
                <w:rStyle w:val="Hyperlink"/>
                <w:noProof/>
              </w:rPr>
              <w:t>A.</w:t>
            </w:r>
            <w:r w:rsidR="00274441">
              <w:rPr>
                <w:rFonts w:asciiTheme="minorHAnsi" w:eastAsiaTheme="minorEastAsia" w:hAnsiTheme="minorHAnsi"/>
                <w:noProof/>
                <w:sz w:val="22"/>
              </w:rPr>
              <w:tab/>
            </w:r>
            <w:r w:rsidR="00274441" w:rsidRPr="00655E3F">
              <w:rPr>
                <w:rStyle w:val="Hyperlink"/>
                <w:noProof/>
              </w:rPr>
              <w:t>Stringency Relative to Federal Law. The Board Should Carefully Scrutinize All Sections of This Proposal That Are More Stringent than Federal Law and Reject Any Standard Where Public Notice Was Not Provided or Substantial Evidence of Greater Protectiveness Is Not in the Record.</w:t>
            </w:r>
            <w:r w:rsidR="00274441">
              <w:rPr>
                <w:noProof/>
                <w:webHidden/>
              </w:rPr>
              <w:tab/>
            </w:r>
            <w:r w:rsidR="00274441">
              <w:rPr>
                <w:noProof/>
                <w:webHidden/>
              </w:rPr>
              <w:fldChar w:fldCharType="begin"/>
            </w:r>
            <w:r w:rsidR="00274441">
              <w:rPr>
                <w:noProof/>
                <w:webHidden/>
              </w:rPr>
              <w:instrText xml:space="preserve"> PAGEREF _Toc93563247 \h </w:instrText>
            </w:r>
            <w:r w:rsidR="00274441">
              <w:rPr>
                <w:noProof/>
                <w:webHidden/>
              </w:rPr>
            </w:r>
            <w:r w:rsidR="00274441">
              <w:rPr>
                <w:noProof/>
                <w:webHidden/>
              </w:rPr>
              <w:fldChar w:fldCharType="separate"/>
            </w:r>
            <w:r w:rsidR="00274441">
              <w:rPr>
                <w:noProof/>
                <w:webHidden/>
              </w:rPr>
              <w:t>10</w:t>
            </w:r>
            <w:r w:rsidR="00274441">
              <w:rPr>
                <w:noProof/>
                <w:webHidden/>
              </w:rPr>
              <w:fldChar w:fldCharType="end"/>
            </w:r>
          </w:hyperlink>
        </w:p>
        <w:p w14:paraId="56C8E2D4" w14:textId="5843BF24" w:rsidR="00274441" w:rsidRDefault="004160D5" w:rsidP="00274441">
          <w:pPr>
            <w:pStyle w:val="TOC2"/>
            <w:tabs>
              <w:tab w:val="left" w:pos="880"/>
              <w:tab w:val="right" w:leader="dot" w:pos="9350"/>
            </w:tabs>
            <w:spacing w:after="240"/>
            <w:rPr>
              <w:rFonts w:asciiTheme="minorHAnsi" w:eastAsiaTheme="minorEastAsia" w:hAnsiTheme="minorHAnsi"/>
              <w:noProof/>
              <w:sz w:val="22"/>
            </w:rPr>
          </w:pPr>
          <w:hyperlink w:anchor="_Toc93563248" w:history="1">
            <w:r w:rsidR="00274441" w:rsidRPr="00655E3F">
              <w:rPr>
                <w:rStyle w:val="Hyperlink"/>
                <w:noProof/>
              </w:rPr>
              <w:t>B.</w:t>
            </w:r>
            <w:r w:rsidR="00274441">
              <w:rPr>
                <w:rFonts w:asciiTheme="minorHAnsi" w:eastAsiaTheme="minorEastAsia" w:hAnsiTheme="minorHAnsi"/>
                <w:noProof/>
                <w:sz w:val="22"/>
              </w:rPr>
              <w:tab/>
            </w:r>
            <w:r w:rsidR="00274441" w:rsidRPr="00655E3F">
              <w:rPr>
                <w:rStyle w:val="Hyperlink"/>
                <w:noProof/>
              </w:rPr>
              <w:t>Economic Reasonableness. The Board Should Reject Proposals That Are Economically Unreasonable to Protect the Contributions the Oil and Gas Industry Makes to the New Mexico Economy.</w:t>
            </w:r>
            <w:r w:rsidR="00274441">
              <w:rPr>
                <w:noProof/>
                <w:webHidden/>
              </w:rPr>
              <w:tab/>
            </w:r>
            <w:r w:rsidR="00274441">
              <w:rPr>
                <w:noProof/>
                <w:webHidden/>
              </w:rPr>
              <w:fldChar w:fldCharType="begin"/>
            </w:r>
            <w:r w:rsidR="00274441">
              <w:rPr>
                <w:noProof/>
                <w:webHidden/>
              </w:rPr>
              <w:instrText xml:space="preserve"> PAGEREF _Toc93563248 \h </w:instrText>
            </w:r>
            <w:r w:rsidR="00274441">
              <w:rPr>
                <w:noProof/>
                <w:webHidden/>
              </w:rPr>
            </w:r>
            <w:r w:rsidR="00274441">
              <w:rPr>
                <w:noProof/>
                <w:webHidden/>
              </w:rPr>
              <w:fldChar w:fldCharType="separate"/>
            </w:r>
            <w:r w:rsidR="00274441">
              <w:rPr>
                <w:noProof/>
                <w:webHidden/>
              </w:rPr>
              <w:t>13</w:t>
            </w:r>
            <w:r w:rsidR="00274441">
              <w:rPr>
                <w:noProof/>
                <w:webHidden/>
              </w:rPr>
              <w:fldChar w:fldCharType="end"/>
            </w:r>
          </w:hyperlink>
        </w:p>
        <w:p w14:paraId="73B2C896" w14:textId="7C20D909" w:rsidR="00274441" w:rsidRDefault="004160D5" w:rsidP="00274441">
          <w:pPr>
            <w:pStyle w:val="TOC2"/>
            <w:tabs>
              <w:tab w:val="left" w:pos="880"/>
              <w:tab w:val="right" w:leader="dot" w:pos="9350"/>
            </w:tabs>
            <w:spacing w:after="240"/>
            <w:rPr>
              <w:rFonts w:asciiTheme="minorHAnsi" w:eastAsiaTheme="minorEastAsia" w:hAnsiTheme="minorHAnsi"/>
              <w:noProof/>
              <w:sz w:val="22"/>
            </w:rPr>
          </w:pPr>
          <w:hyperlink w:anchor="_Toc93563249" w:history="1">
            <w:r w:rsidR="00274441" w:rsidRPr="00655E3F">
              <w:rPr>
                <w:rStyle w:val="Hyperlink"/>
                <w:noProof/>
              </w:rPr>
              <w:t>C.</w:t>
            </w:r>
            <w:r w:rsidR="00274441">
              <w:rPr>
                <w:rFonts w:asciiTheme="minorHAnsi" w:eastAsiaTheme="minorEastAsia" w:hAnsiTheme="minorHAnsi"/>
                <w:noProof/>
                <w:sz w:val="22"/>
              </w:rPr>
              <w:tab/>
            </w:r>
            <w:r w:rsidR="00274441" w:rsidRPr="00655E3F">
              <w:rPr>
                <w:rStyle w:val="Hyperlink"/>
                <w:noProof/>
              </w:rPr>
              <w:t>Scope, 20.2.50.2 NMAC. The Board Should Not Apply This Rule to Rio Arriba and Chaves County Because These Counties Do Not Have Department Monitors Demonstrating the Design Value Exceeds 95% of The Ozone Standard.</w:t>
            </w:r>
            <w:r w:rsidR="00274441">
              <w:rPr>
                <w:noProof/>
                <w:webHidden/>
              </w:rPr>
              <w:tab/>
            </w:r>
            <w:r w:rsidR="00274441">
              <w:rPr>
                <w:noProof/>
                <w:webHidden/>
              </w:rPr>
              <w:fldChar w:fldCharType="begin"/>
            </w:r>
            <w:r w:rsidR="00274441">
              <w:rPr>
                <w:noProof/>
                <w:webHidden/>
              </w:rPr>
              <w:instrText xml:space="preserve"> PAGEREF _Toc93563249 \h </w:instrText>
            </w:r>
            <w:r w:rsidR="00274441">
              <w:rPr>
                <w:noProof/>
                <w:webHidden/>
              </w:rPr>
            </w:r>
            <w:r w:rsidR="00274441">
              <w:rPr>
                <w:noProof/>
                <w:webHidden/>
              </w:rPr>
              <w:fldChar w:fldCharType="separate"/>
            </w:r>
            <w:r w:rsidR="00274441">
              <w:rPr>
                <w:noProof/>
                <w:webHidden/>
              </w:rPr>
              <w:t>15</w:t>
            </w:r>
            <w:r w:rsidR="00274441">
              <w:rPr>
                <w:noProof/>
                <w:webHidden/>
              </w:rPr>
              <w:fldChar w:fldCharType="end"/>
            </w:r>
          </w:hyperlink>
        </w:p>
        <w:p w14:paraId="2CC62013" w14:textId="2B4603D4" w:rsidR="00274441" w:rsidRDefault="004160D5" w:rsidP="00274441">
          <w:pPr>
            <w:pStyle w:val="TOC2"/>
            <w:tabs>
              <w:tab w:val="left" w:pos="880"/>
              <w:tab w:val="right" w:leader="dot" w:pos="9350"/>
            </w:tabs>
            <w:spacing w:after="240"/>
            <w:rPr>
              <w:rFonts w:asciiTheme="minorHAnsi" w:eastAsiaTheme="minorEastAsia" w:hAnsiTheme="minorHAnsi"/>
              <w:noProof/>
              <w:sz w:val="22"/>
            </w:rPr>
          </w:pPr>
          <w:hyperlink w:anchor="_Toc93563250" w:history="1">
            <w:r w:rsidR="00274441" w:rsidRPr="00655E3F">
              <w:rPr>
                <w:rStyle w:val="Hyperlink"/>
                <w:noProof/>
              </w:rPr>
              <w:t>D.</w:t>
            </w:r>
            <w:r w:rsidR="00274441">
              <w:rPr>
                <w:rFonts w:asciiTheme="minorHAnsi" w:eastAsiaTheme="minorEastAsia" w:hAnsiTheme="minorHAnsi"/>
                <w:noProof/>
                <w:sz w:val="22"/>
              </w:rPr>
              <w:tab/>
            </w:r>
            <w:r w:rsidR="00274441" w:rsidRPr="00655E3F">
              <w:rPr>
                <w:rStyle w:val="Hyperlink"/>
                <w:noProof/>
              </w:rPr>
              <w:t>Applicability, 20.2.50.111 NMAC. The Record Does Not Support NMED’s Insistence that Only an Engineer Is Qualified to Calculate Potential to Emit.</w:t>
            </w:r>
            <w:r w:rsidR="00274441">
              <w:rPr>
                <w:noProof/>
                <w:webHidden/>
              </w:rPr>
              <w:tab/>
            </w:r>
            <w:r w:rsidR="00274441">
              <w:rPr>
                <w:noProof/>
                <w:webHidden/>
              </w:rPr>
              <w:fldChar w:fldCharType="begin"/>
            </w:r>
            <w:r w:rsidR="00274441">
              <w:rPr>
                <w:noProof/>
                <w:webHidden/>
              </w:rPr>
              <w:instrText xml:space="preserve"> PAGEREF _Toc93563250 \h </w:instrText>
            </w:r>
            <w:r w:rsidR="00274441">
              <w:rPr>
                <w:noProof/>
                <w:webHidden/>
              </w:rPr>
            </w:r>
            <w:r w:rsidR="00274441">
              <w:rPr>
                <w:noProof/>
                <w:webHidden/>
              </w:rPr>
              <w:fldChar w:fldCharType="separate"/>
            </w:r>
            <w:r w:rsidR="00274441">
              <w:rPr>
                <w:noProof/>
                <w:webHidden/>
              </w:rPr>
              <w:t>16</w:t>
            </w:r>
            <w:r w:rsidR="00274441">
              <w:rPr>
                <w:noProof/>
                <w:webHidden/>
              </w:rPr>
              <w:fldChar w:fldCharType="end"/>
            </w:r>
          </w:hyperlink>
        </w:p>
        <w:p w14:paraId="47C93CDD" w14:textId="0045CCE6" w:rsidR="00274441" w:rsidRDefault="004160D5" w:rsidP="00274441">
          <w:pPr>
            <w:pStyle w:val="TOC2"/>
            <w:tabs>
              <w:tab w:val="left" w:pos="880"/>
              <w:tab w:val="right" w:leader="dot" w:pos="9350"/>
            </w:tabs>
            <w:spacing w:after="240"/>
            <w:rPr>
              <w:rFonts w:asciiTheme="minorHAnsi" w:eastAsiaTheme="minorEastAsia" w:hAnsiTheme="minorHAnsi"/>
              <w:noProof/>
              <w:sz w:val="22"/>
            </w:rPr>
          </w:pPr>
          <w:hyperlink w:anchor="_Toc93563251" w:history="1">
            <w:r w:rsidR="00274441" w:rsidRPr="00655E3F">
              <w:rPr>
                <w:rStyle w:val="Hyperlink"/>
                <w:noProof/>
              </w:rPr>
              <w:t>E.</w:t>
            </w:r>
            <w:r w:rsidR="00274441">
              <w:rPr>
                <w:rFonts w:asciiTheme="minorHAnsi" w:eastAsiaTheme="minorEastAsia" w:hAnsiTheme="minorHAnsi"/>
                <w:noProof/>
                <w:sz w:val="22"/>
              </w:rPr>
              <w:tab/>
            </w:r>
            <w:r w:rsidR="00274441" w:rsidRPr="00655E3F">
              <w:rPr>
                <w:rStyle w:val="Hyperlink"/>
                <w:noProof/>
              </w:rPr>
              <w:t>General Provisions, 20.2.50.112 NMAC. The Board Should Memorialize the Department’s Commitment to Engage in a Stakeholder Process to Identify Date and Timestamp Technologies and Provide Industry Two Years to Integrate These Technologies.</w:t>
            </w:r>
            <w:r w:rsidR="00274441">
              <w:rPr>
                <w:noProof/>
                <w:webHidden/>
              </w:rPr>
              <w:tab/>
            </w:r>
            <w:r w:rsidR="00274441">
              <w:rPr>
                <w:noProof/>
                <w:webHidden/>
              </w:rPr>
              <w:fldChar w:fldCharType="begin"/>
            </w:r>
            <w:r w:rsidR="00274441">
              <w:rPr>
                <w:noProof/>
                <w:webHidden/>
              </w:rPr>
              <w:instrText xml:space="preserve"> PAGEREF _Toc93563251 \h </w:instrText>
            </w:r>
            <w:r w:rsidR="00274441">
              <w:rPr>
                <w:noProof/>
                <w:webHidden/>
              </w:rPr>
            </w:r>
            <w:r w:rsidR="00274441">
              <w:rPr>
                <w:noProof/>
                <w:webHidden/>
              </w:rPr>
              <w:fldChar w:fldCharType="separate"/>
            </w:r>
            <w:r w:rsidR="00274441">
              <w:rPr>
                <w:noProof/>
                <w:webHidden/>
              </w:rPr>
              <w:t>18</w:t>
            </w:r>
            <w:r w:rsidR="00274441">
              <w:rPr>
                <w:noProof/>
                <w:webHidden/>
              </w:rPr>
              <w:fldChar w:fldCharType="end"/>
            </w:r>
          </w:hyperlink>
        </w:p>
        <w:p w14:paraId="0E30BA76" w14:textId="6F0CE34B" w:rsidR="00274441" w:rsidRDefault="004160D5" w:rsidP="00274441">
          <w:pPr>
            <w:pStyle w:val="TOC2"/>
            <w:tabs>
              <w:tab w:val="left" w:pos="660"/>
              <w:tab w:val="right" w:leader="dot" w:pos="9350"/>
            </w:tabs>
            <w:spacing w:after="240"/>
            <w:rPr>
              <w:rFonts w:asciiTheme="minorHAnsi" w:eastAsiaTheme="minorEastAsia" w:hAnsiTheme="minorHAnsi"/>
              <w:noProof/>
              <w:sz w:val="22"/>
            </w:rPr>
          </w:pPr>
          <w:hyperlink w:anchor="_Toc93563252" w:history="1">
            <w:r w:rsidR="00274441" w:rsidRPr="00655E3F">
              <w:rPr>
                <w:rStyle w:val="Hyperlink"/>
                <w:noProof/>
              </w:rPr>
              <w:t>F.</w:t>
            </w:r>
            <w:r w:rsidR="00274441">
              <w:rPr>
                <w:rFonts w:asciiTheme="minorHAnsi" w:eastAsiaTheme="minorEastAsia" w:hAnsiTheme="minorHAnsi"/>
                <w:noProof/>
                <w:sz w:val="22"/>
              </w:rPr>
              <w:tab/>
            </w:r>
            <w:r w:rsidR="00274441" w:rsidRPr="00655E3F">
              <w:rPr>
                <w:rStyle w:val="Hyperlink"/>
                <w:noProof/>
              </w:rPr>
              <w:t>Engines and Turbines, 20.2.50.113 NMAC. The Board Should Adopt the Department’s Proposal Because It Requires Reasonable and Aggressive Emissions Reductions.</w:t>
            </w:r>
            <w:r w:rsidR="00274441">
              <w:rPr>
                <w:noProof/>
                <w:webHidden/>
              </w:rPr>
              <w:tab/>
            </w:r>
            <w:r w:rsidR="00274441">
              <w:rPr>
                <w:noProof/>
                <w:webHidden/>
              </w:rPr>
              <w:fldChar w:fldCharType="begin"/>
            </w:r>
            <w:r w:rsidR="00274441">
              <w:rPr>
                <w:noProof/>
                <w:webHidden/>
              </w:rPr>
              <w:instrText xml:space="preserve"> PAGEREF _Toc93563252 \h </w:instrText>
            </w:r>
            <w:r w:rsidR="00274441">
              <w:rPr>
                <w:noProof/>
                <w:webHidden/>
              </w:rPr>
            </w:r>
            <w:r w:rsidR="00274441">
              <w:rPr>
                <w:noProof/>
                <w:webHidden/>
              </w:rPr>
              <w:fldChar w:fldCharType="separate"/>
            </w:r>
            <w:r w:rsidR="00274441">
              <w:rPr>
                <w:noProof/>
                <w:webHidden/>
              </w:rPr>
              <w:t>20</w:t>
            </w:r>
            <w:r w:rsidR="00274441">
              <w:rPr>
                <w:noProof/>
                <w:webHidden/>
              </w:rPr>
              <w:fldChar w:fldCharType="end"/>
            </w:r>
          </w:hyperlink>
        </w:p>
        <w:p w14:paraId="7E6E01FA" w14:textId="18D7D151" w:rsidR="00274441" w:rsidRDefault="004160D5" w:rsidP="00274441">
          <w:pPr>
            <w:pStyle w:val="TOC2"/>
            <w:tabs>
              <w:tab w:val="left" w:pos="880"/>
              <w:tab w:val="right" w:leader="dot" w:pos="9350"/>
            </w:tabs>
            <w:spacing w:after="240"/>
            <w:rPr>
              <w:rFonts w:asciiTheme="minorHAnsi" w:eastAsiaTheme="minorEastAsia" w:hAnsiTheme="minorHAnsi"/>
              <w:noProof/>
              <w:sz w:val="22"/>
            </w:rPr>
          </w:pPr>
          <w:hyperlink w:anchor="_Toc93563253" w:history="1">
            <w:r w:rsidR="00274441" w:rsidRPr="00655E3F">
              <w:rPr>
                <w:rStyle w:val="Hyperlink"/>
                <w:noProof/>
              </w:rPr>
              <w:t>G.</w:t>
            </w:r>
            <w:r w:rsidR="00274441">
              <w:rPr>
                <w:rFonts w:asciiTheme="minorHAnsi" w:eastAsiaTheme="minorEastAsia" w:hAnsiTheme="minorHAnsi"/>
                <w:noProof/>
                <w:sz w:val="22"/>
              </w:rPr>
              <w:tab/>
            </w:r>
            <w:r w:rsidR="00274441" w:rsidRPr="00655E3F">
              <w:rPr>
                <w:rStyle w:val="Hyperlink"/>
                <w:noProof/>
              </w:rPr>
              <w:t>Control Devices, 20.2.50.115 NMAC. The Board Should Adopt the Department’s Control Devices Standard, Except that The Redundant VRU Requirement Is Not Supported By the Record and Should be Rejected.</w:t>
            </w:r>
            <w:r w:rsidR="00274441">
              <w:rPr>
                <w:noProof/>
                <w:webHidden/>
              </w:rPr>
              <w:tab/>
            </w:r>
            <w:r w:rsidR="00274441">
              <w:rPr>
                <w:noProof/>
                <w:webHidden/>
              </w:rPr>
              <w:fldChar w:fldCharType="begin"/>
            </w:r>
            <w:r w:rsidR="00274441">
              <w:rPr>
                <w:noProof/>
                <w:webHidden/>
              </w:rPr>
              <w:instrText xml:space="preserve"> PAGEREF _Toc93563253 \h </w:instrText>
            </w:r>
            <w:r w:rsidR="00274441">
              <w:rPr>
                <w:noProof/>
                <w:webHidden/>
              </w:rPr>
            </w:r>
            <w:r w:rsidR="00274441">
              <w:rPr>
                <w:noProof/>
                <w:webHidden/>
              </w:rPr>
              <w:fldChar w:fldCharType="separate"/>
            </w:r>
            <w:r w:rsidR="00274441">
              <w:rPr>
                <w:noProof/>
                <w:webHidden/>
              </w:rPr>
              <w:t>23</w:t>
            </w:r>
            <w:r w:rsidR="00274441">
              <w:rPr>
                <w:noProof/>
                <w:webHidden/>
              </w:rPr>
              <w:fldChar w:fldCharType="end"/>
            </w:r>
          </w:hyperlink>
        </w:p>
        <w:p w14:paraId="5D4ECE1A" w14:textId="6BD582C4" w:rsidR="00274441" w:rsidRDefault="004160D5" w:rsidP="00274441">
          <w:pPr>
            <w:pStyle w:val="TOC2"/>
            <w:tabs>
              <w:tab w:val="left" w:pos="880"/>
              <w:tab w:val="right" w:leader="dot" w:pos="9350"/>
            </w:tabs>
            <w:spacing w:after="240"/>
            <w:rPr>
              <w:rFonts w:asciiTheme="minorHAnsi" w:eastAsiaTheme="minorEastAsia" w:hAnsiTheme="minorHAnsi"/>
              <w:noProof/>
              <w:sz w:val="22"/>
            </w:rPr>
          </w:pPr>
          <w:hyperlink w:anchor="_Toc93563254" w:history="1">
            <w:r w:rsidR="00274441" w:rsidRPr="00655E3F">
              <w:rPr>
                <w:rStyle w:val="Hyperlink"/>
                <w:noProof/>
              </w:rPr>
              <w:t>H.</w:t>
            </w:r>
            <w:r w:rsidR="00274441">
              <w:rPr>
                <w:rFonts w:asciiTheme="minorHAnsi" w:eastAsiaTheme="minorEastAsia" w:hAnsiTheme="minorHAnsi"/>
                <w:noProof/>
                <w:sz w:val="22"/>
              </w:rPr>
              <w:tab/>
            </w:r>
            <w:r w:rsidR="00274441" w:rsidRPr="00655E3F">
              <w:rPr>
                <w:rStyle w:val="Hyperlink"/>
                <w:noProof/>
              </w:rPr>
              <w:t>Equipment Leaks &amp; Fugitive Emissions, 20.2.50.116 NMAC.</w:t>
            </w:r>
            <w:r w:rsidR="00274441">
              <w:rPr>
                <w:noProof/>
                <w:webHidden/>
              </w:rPr>
              <w:tab/>
            </w:r>
            <w:r w:rsidR="00274441">
              <w:rPr>
                <w:noProof/>
                <w:webHidden/>
              </w:rPr>
              <w:fldChar w:fldCharType="begin"/>
            </w:r>
            <w:r w:rsidR="00274441">
              <w:rPr>
                <w:noProof/>
                <w:webHidden/>
              </w:rPr>
              <w:instrText xml:space="preserve"> PAGEREF _Toc93563254 \h </w:instrText>
            </w:r>
            <w:r w:rsidR="00274441">
              <w:rPr>
                <w:noProof/>
                <w:webHidden/>
              </w:rPr>
            </w:r>
            <w:r w:rsidR="00274441">
              <w:rPr>
                <w:noProof/>
                <w:webHidden/>
              </w:rPr>
              <w:fldChar w:fldCharType="separate"/>
            </w:r>
            <w:r w:rsidR="00274441">
              <w:rPr>
                <w:noProof/>
                <w:webHidden/>
              </w:rPr>
              <w:t>24</w:t>
            </w:r>
            <w:r w:rsidR="00274441">
              <w:rPr>
                <w:noProof/>
                <w:webHidden/>
              </w:rPr>
              <w:fldChar w:fldCharType="end"/>
            </w:r>
          </w:hyperlink>
        </w:p>
        <w:p w14:paraId="3345A612" w14:textId="08CE4F6F" w:rsidR="00274441" w:rsidRDefault="004160D5" w:rsidP="00274441">
          <w:pPr>
            <w:pStyle w:val="TOC3"/>
            <w:tabs>
              <w:tab w:val="left" w:pos="880"/>
              <w:tab w:val="right" w:leader="dot" w:pos="9350"/>
            </w:tabs>
            <w:spacing w:after="240"/>
            <w:rPr>
              <w:rFonts w:asciiTheme="minorHAnsi" w:eastAsiaTheme="minorEastAsia" w:hAnsiTheme="minorHAnsi"/>
              <w:noProof/>
              <w:sz w:val="22"/>
            </w:rPr>
          </w:pPr>
          <w:hyperlink w:anchor="_Toc93563255" w:history="1">
            <w:r w:rsidR="00274441" w:rsidRPr="00655E3F">
              <w:rPr>
                <w:rStyle w:val="Hyperlink"/>
                <w:noProof/>
              </w:rPr>
              <w:t>i.</w:t>
            </w:r>
            <w:r w:rsidR="00274441">
              <w:rPr>
                <w:rFonts w:asciiTheme="minorHAnsi" w:eastAsiaTheme="minorEastAsia" w:hAnsiTheme="minorHAnsi"/>
                <w:noProof/>
                <w:sz w:val="22"/>
              </w:rPr>
              <w:tab/>
            </w:r>
            <w:r w:rsidR="00274441" w:rsidRPr="00655E3F">
              <w:rPr>
                <w:rStyle w:val="Hyperlink"/>
                <w:noProof/>
              </w:rPr>
              <w:t>The Board Should Reject the More Stringent Leak Detection and Repair Thresholds and Frequencies Proposed by NMED and Adopt NMOGA’s Proposal Because the Added Stringency of NMED’s Proposal Has Minimal Impacts on VOC Reductions and Fails to Account for The Diminishing Returns of Increased Survey Frequency.</w:t>
            </w:r>
            <w:r w:rsidR="00274441">
              <w:rPr>
                <w:noProof/>
                <w:webHidden/>
              </w:rPr>
              <w:tab/>
            </w:r>
            <w:r w:rsidR="00274441">
              <w:rPr>
                <w:noProof/>
                <w:webHidden/>
              </w:rPr>
              <w:fldChar w:fldCharType="begin"/>
            </w:r>
            <w:r w:rsidR="00274441">
              <w:rPr>
                <w:noProof/>
                <w:webHidden/>
              </w:rPr>
              <w:instrText xml:space="preserve"> PAGEREF _Toc93563255 \h </w:instrText>
            </w:r>
            <w:r w:rsidR="00274441">
              <w:rPr>
                <w:noProof/>
                <w:webHidden/>
              </w:rPr>
            </w:r>
            <w:r w:rsidR="00274441">
              <w:rPr>
                <w:noProof/>
                <w:webHidden/>
              </w:rPr>
              <w:fldChar w:fldCharType="separate"/>
            </w:r>
            <w:r w:rsidR="00274441">
              <w:rPr>
                <w:noProof/>
                <w:webHidden/>
              </w:rPr>
              <w:t>24</w:t>
            </w:r>
            <w:r w:rsidR="00274441">
              <w:rPr>
                <w:noProof/>
                <w:webHidden/>
              </w:rPr>
              <w:fldChar w:fldCharType="end"/>
            </w:r>
          </w:hyperlink>
        </w:p>
        <w:p w14:paraId="1200C63A" w14:textId="78480E98" w:rsidR="00274441" w:rsidRDefault="004160D5" w:rsidP="00274441">
          <w:pPr>
            <w:pStyle w:val="TOC3"/>
            <w:tabs>
              <w:tab w:val="left" w:pos="1100"/>
              <w:tab w:val="right" w:leader="dot" w:pos="9350"/>
            </w:tabs>
            <w:spacing w:after="240"/>
            <w:rPr>
              <w:rFonts w:asciiTheme="minorHAnsi" w:eastAsiaTheme="minorEastAsia" w:hAnsiTheme="minorHAnsi"/>
              <w:noProof/>
              <w:sz w:val="22"/>
            </w:rPr>
          </w:pPr>
          <w:hyperlink w:anchor="_Toc93563256" w:history="1">
            <w:r w:rsidR="00274441" w:rsidRPr="00655E3F">
              <w:rPr>
                <w:rStyle w:val="Hyperlink"/>
                <w:noProof/>
              </w:rPr>
              <w:t>ii.</w:t>
            </w:r>
            <w:r w:rsidR="00274441">
              <w:rPr>
                <w:rFonts w:asciiTheme="minorHAnsi" w:eastAsiaTheme="minorEastAsia" w:hAnsiTheme="minorHAnsi"/>
                <w:noProof/>
                <w:sz w:val="22"/>
              </w:rPr>
              <w:tab/>
            </w:r>
            <w:r w:rsidR="00274441" w:rsidRPr="00655E3F">
              <w:rPr>
                <w:rStyle w:val="Hyperlink"/>
                <w:noProof/>
              </w:rPr>
              <w:t>The Board Should Reject the Proximity LDAR Proposal Because It Is Beyond the Scope of This Rulemaking, Does Not Demonstrably Contribute to The Objective of Attaining and Maintaining the Primary Ozone Standard, and is Not Cost-Effective.</w:t>
            </w:r>
            <w:r w:rsidR="00274441">
              <w:rPr>
                <w:noProof/>
                <w:webHidden/>
              </w:rPr>
              <w:tab/>
            </w:r>
            <w:r w:rsidR="00274441">
              <w:rPr>
                <w:noProof/>
                <w:webHidden/>
              </w:rPr>
              <w:fldChar w:fldCharType="begin"/>
            </w:r>
            <w:r w:rsidR="00274441">
              <w:rPr>
                <w:noProof/>
                <w:webHidden/>
              </w:rPr>
              <w:instrText xml:space="preserve"> PAGEREF _Toc93563256 \h </w:instrText>
            </w:r>
            <w:r w:rsidR="00274441">
              <w:rPr>
                <w:noProof/>
                <w:webHidden/>
              </w:rPr>
            </w:r>
            <w:r w:rsidR="00274441">
              <w:rPr>
                <w:noProof/>
                <w:webHidden/>
              </w:rPr>
              <w:fldChar w:fldCharType="separate"/>
            </w:r>
            <w:r w:rsidR="00274441">
              <w:rPr>
                <w:noProof/>
                <w:webHidden/>
              </w:rPr>
              <w:t>30</w:t>
            </w:r>
            <w:r w:rsidR="00274441">
              <w:rPr>
                <w:noProof/>
                <w:webHidden/>
              </w:rPr>
              <w:fldChar w:fldCharType="end"/>
            </w:r>
          </w:hyperlink>
        </w:p>
        <w:p w14:paraId="42C14FB3" w14:textId="596762CF" w:rsidR="00274441" w:rsidRDefault="004160D5" w:rsidP="00274441">
          <w:pPr>
            <w:pStyle w:val="TOC2"/>
            <w:tabs>
              <w:tab w:val="left" w:pos="660"/>
              <w:tab w:val="right" w:leader="dot" w:pos="9350"/>
            </w:tabs>
            <w:spacing w:after="240"/>
            <w:rPr>
              <w:rFonts w:asciiTheme="minorHAnsi" w:eastAsiaTheme="minorEastAsia" w:hAnsiTheme="minorHAnsi"/>
              <w:noProof/>
              <w:sz w:val="22"/>
            </w:rPr>
          </w:pPr>
          <w:hyperlink w:anchor="_Toc93563257" w:history="1">
            <w:r w:rsidR="00274441" w:rsidRPr="00655E3F">
              <w:rPr>
                <w:rStyle w:val="Hyperlink"/>
                <w:noProof/>
              </w:rPr>
              <w:t>I.</w:t>
            </w:r>
            <w:r w:rsidR="00274441">
              <w:rPr>
                <w:rFonts w:asciiTheme="minorHAnsi" w:eastAsiaTheme="minorEastAsia" w:hAnsiTheme="minorHAnsi"/>
                <w:noProof/>
                <w:sz w:val="22"/>
              </w:rPr>
              <w:tab/>
            </w:r>
            <w:r w:rsidR="00274441" w:rsidRPr="00655E3F">
              <w:rPr>
                <w:rStyle w:val="Hyperlink"/>
                <w:noProof/>
              </w:rPr>
              <w:t xml:space="preserve">Hydrocarbon Liquid Transfers, 20.2.50.120 NMAC. The Board Should Adopt the Department’s Latest Redline with Minor Revisions Because the Proposal Incorporates Several </w:t>
            </w:r>
            <w:r w:rsidR="00274441" w:rsidRPr="00655E3F">
              <w:rPr>
                <w:rStyle w:val="Hyperlink"/>
                <w:noProof/>
              </w:rPr>
              <w:lastRenderedPageBreak/>
              <w:t>Changes Consistent with the Board’s Obligation to Consider the “Technical Practicability and Economic Reasonableness” of Its Rules.</w:t>
            </w:r>
            <w:r w:rsidR="00274441">
              <w:rPr>
                <w:noProof/>
                <w:webHidden/>
              </w:rPr>
              <w:tab/>
            </w:r>
            <w:r w:rsidR="00274441">
              <w:rPr>
                <w:noProof/>
                <w:webHidden/>
              </w:rPr>
              <w:fldChar w:fldCharType="begin"/>
            </w:r>
            <w:r w:rsidR="00274441">
              <w:rPr>
                <w:noProof/>
                <w:webHidden/>
              </w:rPr>
              <w:instrText xml:space="preserve"> PAGEREF _Toc93563257 \h </w:instrText>
            </w:r>
            <w:r w:rsidR="00274441">
              <w:rPr>
                <w:noProof/>
                <w:webHidden/>
              </w:rPr>
            </w:r>
            <w:r w:rsidR="00274441">
              <w:rPr>
                <w:noProof/>
                <w:webHidden/>
              </w:rPr>
              <w:fldChar w:fldCharType="separate"/>
            </w:r>
            <w:r w:rsidR="00274441">
              <w:rPr>
                <w:noProof/>
                <w:webHidden/>
              </w:rPr>
              <w:t>35</w:t>
            </w:r>
            <w:r w:rsidR="00274441">
              <w:rPr>
                <w:noProof/>
                <w:webHidden/>
              </w:rPr>
              <w:fldChar w:fldCharType="end"/>
            </w:r>
          </w:hyperlink>
        </w:p>
        <w:p w14:paraId="0D1B5B73" w14:textId="2533118B" w:rsidR="00274441" w:rsidRDefault="004160D5" w:rsidP="00274441">
          <w:pPr>
            <w:pStyle w:val="TOC2"/>
            <w:tabs>
              <w:tab w:val="left" w:pos="660"/>
              <w:tab w:val="right" w:leader="dot" w:pos="9350"/>
            </w:tabs>
            <w:spacing w:after="240"/>
            <w:rPr>
              <w:rFonts w:asciiTheme="minorHAnsi" w:eastAsiaTheme="minorEastAsia" w:hAnsiTheme="minorHAnsi"/>
              <w:noProof/>
              <w:sz w:val="22"/>
            </w:rPr>
          </w:pPr>
          <w:hyperlink w:anchor="_Toc93563258" w:history="1">
            <w:r w:rsidR="00274441" w:rsidRPr="00655E3F">
              <w:rPr>
                <w:rStyle w:val="Hyperlink"/>
                <w:noProof/>
              </w:rPr>
              <w:t>J.</w:t>
            </w:r>
            <w:r w:rsidR="00274441">
              <w:rPr>
                <w:rFonts w:asciiTheme="minorHAnsi" w:eastAsiaTheme="minorEastAsia" w:hAnsiTheme="minorHAnsi"/>
                <w:noProof/>
                <w:sz w:val="22"/>
              </w:rPr>
              <w:tab/>
            </w:r>
            <w:r w:rsidR="00274441" w:rsidRPr="00655E3F">
              <w:rPr>
                <w:rStyle w:val="Hyperlink"/>
                <w:noProof/>
              </w:rPr>
              <w:t>Pig Launching &amp; Receiving, 20.2.50.121 NMAC, and Well Workovers 20.2.50.124 NMAC. The Board Should Reject Standards for Pig Launching &amp; Receiving and Well Workovers Because They Do Not Demonstrably Impact Ozone.</w:t>
            </w:r>
            <w:r w:rsidR="00274441">
              <w:rPr>
                <w:noProof/>
                <w:webHidden/>
              </w:rPr>
              <w:tab/>
            </w:r>
            <w:r w:rsidR="00274441">
              <w:rPr>
                <w:noProof/>
                <w:webHidden/>
              </w:rPr>
              <w:fldChar w:fldCharType="begin"/>
            </w:r>
            <w:r w:rsidR="00274441">
              <w:rPr>
                <w:noProof/>
                <w:webHidden/>
              </w:rPr>
              <w:instrText xml:space="preserve"> PAGEREF _Toc93563258 \h </w:instrText>
            </w:r>
            <w:r w:rsidR="00274441">
              <w:rPr>
                <w:noProof/>
                <w:webHidden/>
              </w:rPr>
            </w:r>
            <w:r w:rsidR="00274441">
              <w:rPr>
                <w:noProof/>
                <w:webHidden/>
              </w:rPr>
              <w:fldChar w:fldCharType="separate"/>
            </w:r>
            <w:r w:rsidR="00274441">
              <w:rPr>
                <w:noProof/>
                <w:webHidden/>
              </w:rPr>
              <w:t>37</w:t>
            </w:r>
            <w:r w:rsidR="00274441">
              <w:rPr>
                <w:noProof/>
                <w:webHidden/>
              </w:rPr>
              <w:fldChar w:fldCharType="end"/>
            </w:r>
          </w:hyperlink>
        </w:p>
        <w:p w14:paraId="6D9000F3" w14:textId="0900FB45" w:rsidR="00274441" w:rsidRDefault="004160D5" w:rsidP="00274441">
          <w:pPr>
            <w:pStyle w:val="TOC2"/>
            <w:tabs>
              <w:tab w:val="left" w:pos="880"/>
              <w:tab w:val="right" w:leader="dot" w:pos="9350"/>
            </w:tabs>
            <w:spacing w:after="240"/>
            <w:rPr>
              <w:rFonts w:asciiTheme="minorHAnsi" w:eastAsiaTheme="minorEastAsia" w:hAnsiTheme="minorHAnsi"/>
              <w:noProof/>
              <w:sz w:val="22"/>
            </w:rPr>
          </w:pPr>
          <w:hyperlink w:anchor="_Toc93563259" w:history="1">
            <w:r w:rsidR="00274441" w:rsidRPr="00655E3F">
              <w:rPr>
                <w:rStyle w:val="Hyperlink"/>
                <w:noProof/>
              </w:rPr>
              <w:t>K.</w:t>
            </w:r>
            <w:r w:rsidR="00274441">
              <w:rPr>
                <w:rFonts w:asciiTheme="minorHAnsi" w:eastAsiaTheme="minorEastAsia" w:hAnsiTheme="minorHAnsi"/>
                <w:noProof/>
                <w:sz w:val="22"/>
              </w:rPr>
              <w:tab/>
            </w:r>
            <w:r w:rsidR="00274441" w:rsidRPr="00655E3F">
              <w:rPr>
                <w:rStyle w:val="Hyperlink"/>
                <w:noProof/>
              </w:rPr>
              <w:t>Pneumatic Controllers and Pumps, 20.2.50.122 NMAC. The Board Should Adopt NMED’s Pneumatics Proposal, with Minor Changes to Enhance Workability, and Reject Proposals by Other Stakeholders to Increase the Stringency of Pneumatics Requirements.</w:t>
            </w:r>
            <w:r w:rsidR="00274441">
              <w:rPr>
                <w:noProof/>
                <w:webHidden/>
              </w:rPr>
              <w:tab/>
            </w:r>
            <w:r w:rsidR="00274441">
              <w:rPr>
                <w:noProof/>
                <w:webHidden/>
              </w:rPr>
              <w:fldChar w:fldCharType="begin"/>
            </w:r>
            <w:r w:rsidR="00274441">
              <w:rPr>
                <w:noProof/>
                <w:webHidden/>
              </w:rPr>
              <w:instrText xml:space="preserve"> PAGEREF _Toc93563259 \h </w:instrText>
            </w:r>
            <w:r w:rsidR="00274441">
              <w:rPr>
                <w:noProof/>
                <w:webHidden/>
              </w:rPr>
            </w:r>
            <w:r w:rsidR="00274441">
              <w:rPr>
                <w:noProof/>
                <w:webHidden/>
              </w:rPr>
              <w:fldChar w:fldCharType="separate"/>
            </w:r>
            <w:r w:rsidR="00274441">
              <w:rPr>
                <w:noProof/>
                <w:webHidden/>
              </w:rPr>
              <w:t>39</w:t>
            </w:r>
            <w:r w:rsidR="00274441">
              <w:rPr>
                <w:noProof/>
                <w:webHidden/>
              </w:rPr>
              <w:fldChar w:fldCharType="end"/>
            </w:r>
          </w:hyperlink>
        </w:p>
        <w:p w14:paraId="488150A1" w14:textId="6DDC9D7E" w:rsidR="00274441" w:rsidRDefault="004160D5" w:rsidP="00274441">
          <w:pPr>
            <w:pStyle w:val="TOC2"/>
            <w:tabs>
              <w:tab w:val="left" w:pos="880"/>
              <w:tab w:val="right" w:leader="dot" w:pos="9350"/>
            </w:tabs>
            <w:spacing w:after="240"/>
            <w:rPr>
              <w:rFonts w:asciiTheme="minorHAnsi" w:eastAsiaTheme="minorEastAsia" w:hAnsiTheme="minorHAnsi"/>
              <w:noProof/>
              <w:sz w:val="22"/>
            </w:rPr>
          </w:pPr>
          <w:hyperlink w:anchor="_Toc93563260" w:history="1">
            <w:r w:rsidR="00274441" w:rsidRPr="00655E3F">
              <w:rPr>
                <w:rStyle w:val="Hyperlink"/>
                <w:noProof/>
              </w:rPr>
              <w:t>L.</w:t>
            </w:r>
            <w:r w:rsidR="00274441">
              <w:rPr>
                <w:rFonts w:asciiTheme="minorHAnsi" w:eastAsiaTheme="minorEastAsia" w:hAnsiTheme="minorHAnsi"/>
                <w:noProof/>
                <w:sz w:val="22"/>
              </w:rPr>
              <w:tab/>
            </w:r>
            <w:r w:rsidR="00274441" w:rsidRPr="00655E3F">
              <w:rPr>
                <w:rStyle w:val="Hyperlink"/>
                <w:noProof/>
              </w:rPr>
              <w:t>Storage Vessels, 20.2.50.123 NMAC. The Board Should Adopt NMED’s Storage Vessel Proposal, Except that The Threshold for Existing Single Storage Vessels Should Be Increased to 6 TPY.</w:t>
            </w:r>
            <w:r w:rsidR="00274441">
              <w:rPr>
                <w:noProof/>
                <w:webHidden/>
              </w:rPr>
              <w:tab/>
            </w:r>
            <w:r w:rsidR="00274441">
              <w:rPr>
                <w:noProof/>
                <w:webHidden/>
              </w:rPr>
              <w:fldChar w:fldCharType="begin"/>
            </w:r>
            <w:r w:rsidR="00274441">
              <w:rPr>
                <w:noProof/>
                <w:webHidden/>
              </w:rPr>
              <w:instrText xml:space="preserve"> PAGEREF _Toc93563260 \h </w:instrText>
            </w:r>
            <w:r w:rsidR="00274441">
              <w:rPr>
                <w:noProof/>
                <w:webHidden/>
              </w:rPr>
            </w:r>
            <w:r w:rsidR="00274441">
              <w:rPr>
                <w:noProof/>
                <w:webHidden/>
              </w:rPr>
              <w:fldChar w:fldCharType="separate"/>
            </w:r>
            <w:r w:rsidR="00274441">
              <w:rPr>
                <w:noProof/>
                <w:webHidden/>
              </w:rPr>
              <w:t>45</w:t>
            </w:r>
            <w:r w:rsidR="00274441">
              <w:rPr>
                <w:noProof/>
                <w:webHidden/>
              </w:rPr>
              <w:fldChar w:fldCharType="end"/>
            </w:r>
          </w:hyperlink>
        </w:p>
        <w:p w14:paraId="23FF0F20" w14:textId="75DA4FBD" w:rsidR="00274441" w:rsidRDefault="004160D5" w:rsidP="00274441">
          <w:pPr>
            <w:pStyle w:val="TOC2"/>
            <w:tabs>
              <w:tab w:val="left" w:pos="880"/>
              <w:tab w:val="right" w:leader="dot" w:pos="9350"/>
            </w:tabs>
            <w:spacing w:after="240"/>
            <w:rPr>
              <w:rFonts w:asciiTheme="minorHAnsi" w:eastAsiaTheme="minorEastAsia" w:hAnsiTheme="minorHAnsi"/>
              <w:noProof/>
              <w:sz w:val="22"/>
            </w:rPr>
          </w:pPr>
          <w:hyperlink w:anchor="_Toc93563261" w:history="1">
            <w:r w:rsidR="00274441" w:rsidRPr="00655E3F">
              <w:rPr>
                <w:rStyle w:val="Hyperlink"/>
                <w:noProof/>
              </w:rPr>
              <w:t>M.</w:t>
            </w:r>
            <w:r w:rsidR="00274441">
              <w:rPr>
                <w:rFonts w:asciiTheme="minorHAnsi" w:eastAsiaTheme="minorEastAsia" w:hAnsiTheme="minorHAnsi"/>
                <w:noProof/>
                <w:sz w:val="22"/>
              </w:rPr>
              <w:tab/>
            </w:r>
            <w:r w:rsidR="00274441" w:rsidRPr="00655E3F">
              <w:rPr>
                <w:rStyle w:val="Hyperlink"/>
                <w:noProof/>
              </w:rPr>
              <w:t>Small Business Facilities, 20.2.50.125 NMAC.</w:t>
            </w:r>
            <w:r w:rsidR="00274441">
              <w:rPr>
                <w:noProof/>
                <w:webHidden/>
              </w:rPr>
              <w:tab/>
            </w:r>
            <w:r w:rsidR="00274441">
              <w:rPr>
                <w:noProof/>
                <w:webHidden/>
              </w:rPr>
              <w:fldChar w:fldCharType="begin"/>
            </w:r>
            <w:r w:rsidR="00274441">
              <w:rPr>
                <w:noProof/>
                <w:webHidden/>
              </w:rPr>
              <w:instrText xml:space="preserve"> PAGEREF _Toc93563261 \h </w:instrText>
            </w:r>
            <w:r w:rsidR="00274441">
              <w:rPr>
                <w:noProof/>
                <w:webHidden/>
              </w:rPr>
            </w:r>
            <w:r w:rsidR="00274441">
              <w:rPr>
                <w:noProof/>
                <w:webHidden/>
              </w:rPr>
              <w:fldChar w:fldCharType="separate"/>
            </w:r>
            <w:r w:rsidR="00274441">
              <w:rPr>
                <w:noProof/>
                <w:webHidden/>
              </w:rPr>
              <w:t>49</w:t>
            </w:r>
            <w:r w:rsidR="00274441">
              <w:rPr>
                <w:noProof/>
                <w:webHidden/>
              </w:rPr>
              <w:fldChar w:fldCharType="end"/>
            </w:r>
          </w:hyperlink>
        </w:p>
        <w:p w14:paraId="0AF401EA" w14:textId="3E07046A" w:rsidR="00274441" w:rsidRDefault="004160D5" w:rsidP="00274441">
          <w:pPr>
            <w:pStyle w:val="TOC2"/>
            <w:tabs>
              <w:tab w:val="left" w:pos="880"/>
              <w:tab w:val="right" w:leader="dot" w:pos="9350"/>
            </w:tabs>
            <w:spacing w:after="240"/>
            <w:rPr>
              <w:rFonts w:asciiTheme="minorHAnsi" w:eastAsiaTheme="minorEastAsia" w:hAnsiTheme="minorHAnsi"/>
              <w:noProof/>
              <w:sz w:val="22"/>
            </w:rPr>
          </w:pPr>
          <w:hyperlink w:anchor="_Toc93563262" w:history="1">
            <w:r w:rsidR="00274441" w:rsidRPr="00655E3F">
              <w:rPr>
                <w:rStyle w:val="Hyperlink"/>
                <w:noProof/>
              </w:rPr>
              <w:t>N.</w:t>
            </w:r>
            <w:r w:rsidR="00274441">
              <w:rPr>
                <w:rFonts w:asciiTheme="minorHAnsi" w:eastAsiaTheme="minorEastAsia" w:hAnsiTheme="minorHAnsi"/>
                <w:noProof/>
                <w:sz w:val="22"/>
              </w:rPr>
              <w:tab/>
            </w:r>
            <w:r w:rsidR="00274441" w:rsidRPr="00655E3F">
              <w:rPr>
                <w:rStyle w:val="Hyperlink"/>
                <w:noProof/>
              </w:rPr>
              <w:t>Produced Water Management Units, 20.2.50.126 NMAC. The Department Should Exclude Recycling Facilities from the Definition of Produced Water Management Units.</w:t>
            </w:r>
            <w:r w:rsidR="00274441">
              <w:rPr>
                <w:noProof/>
                <w:webHidden/>
              </w:rPr>
              <w:tab/>
            </w:r>
            <w:r w:rsidR="00274441">
              <w:rPr>
                <w:noProof/>
                <w:webHidden/>
              </w:rPr>
              <w:fldChar w:fldCharType="begin"/>
            </w:r>
            <w:r w:rsidR="00274441">
              <w:rPr>
                <w:noProof/>
                <w:webHidden/>
              </w:rPr>
              <w:instrText xml:space="preserve"> PAGEREF _Toc93563262 \h </w:instrText>
            </w:r>
            <w:r w:rsidR="00274441">
              <w:rPr>
                <w:noProof/>
                <w:webHidden/>
              </w:rPr>
            </w:r>
            <w:r w:rsidR="00274441">
              <w:rPr>
                <w:noProof/>
                <w:webHidden/>
              </w:rPr>
              <w:fldChar w:fldCharType="separate"/>
            </w:r>
            <w:r w:rsidR="00274441">
              <w:rPr>
                <w:noProof/>
                <w:webHidden/>
              </w:rPr>
              <w:t>49</w:t>
            </w:r>
            <w:r w:rsidR="00274441">
              <w:rPr>
                <w:noProof/>
                <w:webHidden/>
              </w:rPr>
              <w:fldChar w:fldCharType="end"/>
            </w:r>
          </w:hyperlink>
        </w:p>
        <w:p w14:paraId="4DFA25D4" w14:textId="140E4D58" w:rsidR="00274441" w:rsidRDefault="004160D5" w:rsidP="00274441">
          <w:pPr>
            <w:pStyle w:val="TOC2"/>
            <w:tabs>
              <w:tab w:val="left" w:pos="880"/>
              <w:tab w:val="right" w:leader="dot" w:pos="9350"/>
            </w:tabs>
            <w:spacing w:after="240"/>
            <w:rPr>
              <w:rFonts w:asciiTheme="minorHAnsi" w:eastAsiaTheme="minorEastAsia" w:hAnsiTheme="minorHAnsi"/>
              <w:noProof/>
              <w:sz w:val="22"/>
            </w:rPr>
          </w:pPr>
          <w:hyperlink w:anchor="_Toc93563263" w:history="1">
            <w:r w:rsidR="00274441" w:rsidRPr="00655E3F">
              <w:rPr>
                <w:rStyle w:val="Hyperlink"/>
                <w:noProof/>
              </w:rPr>
              <w:t>O.</w:t>
            </w:r>
            <w:r w:rsidR="00274441">
              <w:rPr>
                <w:rFonts w:asciiTheme="minorHAnsi" w:eastAsiaTheme="minorEastAsia" w:hAnsiTheme="minorHAnsi"/>
                <w:noProof/>
                <w:sz w:val="22"/>
              </w:rPr>
              <w:tab/>
            </w:r>
            <w:r w:rsidR="00274441" w:rsidRPr="00655E3F">
              <w:rPr>
                <w:rStyle w:val="Hyperlink"/>
                <w:noProof/>
              </w:rPr>
              <w:t>Credible Evidence, 20.2.50.127. The Board Should Adopt the Parties’ Stipulation.</w:t>
            </w:r>
            <w:r w:rsidR="00274441">
              <w:rPr>
                <w:noProof/>
                <w:webHidden/>
              </w:rPr>
              <w:tab/>
            </w:r>
            <w:r w:rsidR="00274441">
              <w:rPr>
                <w:noProof/>
                <w:webHidden/>
              </w:rPr>
              <w:fldChar w:fldCharType="begin"/>
            </w:r>
            <w:r w:rsidR="00274441">
              <w:rPr>
                <w:noProof/>
                <w:webHidden/>
              </w:rPr>
              <w:instrText xml:space="preserve"> PAGEREF _Toc93563263 \h </w:instrText>
            </w:r>
            <w:r w:rsidR="00274441">
              <w:rPr>
                <w:noProof/>
                <w:webHidden/>
              </w:rPr>
            </w:r>
            <w:r w:rsidR="00274441">
              <w:rPr>
                <w:noProof/>
                <w:webHidden/>
              </w:rPr>
              <w:fldChar w:fldCharType="separate"/>
            </w:r>
            <w:r w:rsidR="00274441">
              <w:rPr>
                <w:noProof/>
                <w:webHidden/>
              </w:rPr>
              <w:t>50</w:t>
            </w:r>
            <w:r w:rsidR="00274441">
              <w:rPr>
                <w:noProof/>
                <w:webHidden/>
              </w:rPr>
              <w:fldChar w:fldCharType="end"/>
            </w:r>
          </w:hyperlink>
        </w:p>
        <w:p w14:paraId="108A1C39" w14:textId="106403E3" w:rsidR="00274441" w:rsidRDefault="004160D5" w:rsidP="00274441">
          <w:pPr>
            <w:pStyle w:val="TOC1"/>
            <w:tabs>
              <w:tab w:val="left" w:pos="660"/>
              <w:tab w:val="right" w:leader="dot" w:pos="9350"/>
            </w:tabs>
            <w:spacing w:after="240"/>
            <w:rPr>
              <w:rFonts w:asciiTheme="minorHAnsi" w:eastAsiaTheme="minorEastAsia" w:hAnsiTheme="minorHAnsi"/>
              <w:noProof/>
              <w:sz w:val="22"/>
            </w:rPr>
          </w:pPr>
          <w:hyperlink w:anchor="_Toc93563264" w:history="1">
            <w:r w:rsidR="00274441" w:rsidRPr="00655E3F">
              <w:rPr>
                <w:rStyle w:val="Hyperlink"/>
                <w:bCs/>
                <w:noProof/>
              </w:rPr>
              <w:t>III.</w:t>
            </w:r>
            <w:r w:rsidR="00274441">
              <w:rPr>
                <w:rFonts w:asciiTheme="minorHAnsi" w:eastAsiaTheme="minorEastAsia" w:hAnsiTheme="minorHAnsi"/>
                <w:noProof/>
                <w:sz w:val="22"/>
              </w:rPr>
              <w:tab/>
            </w:r>
            <w:r w:rsidR="00274441" w:rsidRPr="00655E3F">
              <w:rPr>
                <w:rStyle w:val="Hyperlink"/>
                <w:noProof/>
              </w:rPr>
              <w:t>CONCLUSION</w:t>
            </w:r>
            <w:r w:rsidR="00274441">
              <w:rPr>
                <w:noProof/>
                <w:webHidden/>
              </w:rPr>
              <w:tab/>
            </w:r>
            <w:r w:rsidR="00274441">
              <w:rPr>
                <w:noProof/>
                <w:webHidden/>
              </w:rPr>
              <w:fldChar w:fldCharType="begin"/>
            </w:r>
            <w:r w:rsidR="00274441">
              <w:rPr>
                <w:noProof/>
                <w:webHidden/>
              </w:rPr>
              <w:instrText xml:space="preserve"> PAGEREF _Toc93563264 \h </w:instrText>
            </w:r>
            <w:r w:rsidR="00274441">
              <w:rPr>
                <w:noProof/>
                <w:webHidden/>
              </w:rPr>
            </w:r>
            <w:r w:rsidR="00274441">
              <w:rPr>
                <w:noProof/>
                <w:webHidden/>
              </w:rPr>
              <w:fldChar w:fldCharType="separate"/>
            </w:r>
            <w:r w:rsidR="00274441">
              <w:rPr>
                <w:noProof/>
                <w:webHidden/>
              </w:rPr>
              <w:t>51</w:t>
            </w:r>
            <w:r w:rsidR="00274441">
              <w:rPr>
                <w:noProof/>
                <w:webHidden/>
              </w:rPr>
              <w:fldChar w:fldCharType="end"/>
            </w:r>
          </w:hyperlink>
        </w:p>
        <w:p w14:paraId="1729721E" w14:textId="1D6960E5" w:rsidR="00274441" w:rsidRDefault="00274441" w:rsidP="00274441">
          <w:pPr>
            <w:spacing w:after="240"/>
          </w:pPr>
          <w:r>
            <w:rPr>
              <w:b/>
              <w:bCs/>
              <w:noProof/>
            </w:rPr>
            <w:fldChar w:fldCharType="end"/>
          </w:r>
        </w:p>
      </w:sdtContent>
    </w:sdt>
    <w:p w14:paraId="4DB750BA" w14:textId="77777777" w:rsidR="00D37B6B" w:rsidRDefault="00D37B6B" w:rsidP="00274441">
      <w:pPr>
        <w:spacing w:after="0" w:line="480" w:lineRule="auto"/>
        <w:jc w:val="both"/>
        <w:rPr>
          <w:bCs/>
        </w:rPr>
      </w:pPr>
    </w:p>
    <w:p w14:paraId="62B5BB92" w14:textId="77777777" w:rsidR="00274441" w:rsidRDefault="00274441">
      <w:pPr>
        <w:rPr>
          <w:b/>
        </w:rPr>
      </w:pPr>
      <w:bookmarkStart w:id="0" w:name="_Toc93563245"/>
      <w:r>
        <w:br w:type="page"/>
      </w:r>
    </w:p>
    <w:p w14:paraId="3063B10D" w14:textId="02F3EC1D" w:rsidR="00B02F67" w:rsidRPr="00661096" w:rsidRDefault="00B02F67" w:rsidP="00661096">
      <w:pPr>
        <w:pStyle w:val="Heading1"/>
      </w:pPr>
      <w:r w:rsidRPr="00661096">
        <w:lastRenderedPageBreak/>
        <w:t>SUMMARY OF ARGUMENT</w:t>
      </w:r>
      <w:bookmarkEnd w:id="0"/>
    </w:p>
    <w:p w14:paraId="7B8C1536" w14:textId="15D8BB15" w:rsidR="00B02F67" w:rsidRDefault="00B02F67" w:rsidP="00B02F67">
      <w:pPr>
        <w:spacing w:after="0" w:line="480" w:lineRule="auto"/>
        <w:ind w:firstLine="720"/>
        <w:jc w:val="both"/>
        <w:rPr>
          <w:bCs/>
        </w:rPr>
      </w:pPr>
      <w:r>
        <w:rPr>
          <w:bCs/>
        </w:rPr>
        <w:t xml:space="preserve">Without a doubt, the proposed Part 20.2.50 NMAC is a complex and costly rule.  Despite the fireworks at the hearing on the costs, there is not much difference between the industry estimate ($3 billion+ over five years) and the Department’s estimate (approximately $1.2 billion) when you consider that industry included all costs while the Department’s experts “financed” the costs over 15 years but only reported the first five-year cost.  The </w:t>
      </w:r>
      <w:r w:rsidR="002347FC">
        <w:rPr>
          <w:bCs/>
        </w:rPr>
        <w:t>volatile organic compound (</w:t>
      </w:r>
      <w:r>
        <w:rPr>
          <w:bCs/>
        </w:rPr>
        <w:t>VOC</w:t>
      </w:r>
      <w:r w:rsidR="002347FC">
        <w:rPr>
          <w:bCs/>
        </w:rPr>
        <w:t>)</w:t>
      </w:r>
      <w:r>
        <w:rPr>
          <w:bCs/>
        </w:rPr>
        <w:t xml:space="preserve"> controls in the rule also contribute limited ozone reduction, amounting to about 0.2 ppb through much of the Permian and perhaps 0.5 ppb in the San Juan basins. As testified at the hearing, changes of over a thousand tons/year of VOC would not affect the modeled results. In such circumstances, the Board has a duty to </w:t>
      </w:r>
      <w:proofErr w:type="gramStart"/>
      <w:r>
        <w:rPr>
          <w:bCs/>
        </w:rPr>
        <w:t>carefully scrutinize</w:t>
      </w:r>
      <w:proofErr w:type="gramEnd"/>
      <w:r>
        <w:rPr>
          <w:bCs/>
        </w:rPr>
        <w:t xml:space="preserve"> the proposed controls to ensure that they are worth the expenditure of New Mexico’s limited time and treasure. </w:t>
      </w:r>
      <w:r>
        <w:t xml:space="preserve">In reaching its conclusions, the Board may consider co-benefits, but may not rely on them as the exclusive basis for adopting a provision. </w:t>
      </w:r>
      <w:r>
        <w:rPr>
          <w:bCs/>
        </w:rPr>
        <w:t xml:space="preserve">With this caveat, </w:t>
      </w:r>
      <w:r w:rsidRPr="00E4188F">
        <w:rPr>
          <w:bCs/>
        </w:rPr>
        <w:t xml:space="preserve">NMOGA supports the Department’s petition in many respects but proposes several changes to improve the workability of the rule and eliminate costly measures that provide little to no </w:t>
      </w:r>
      <w:r>
        <w:rPr>
          <w:bCs/>
        </w:rPr>
        <w:t xml:space="preserve">ozone reduction or </w:t>
      </w:r>
      <w:r w:rsidRPr="00E4188F">
        <w:rPr>
          <w:bCs/>
        </w:rPr>
        <w:t xml:space="preserve">air quality benefit. </w:t>
      </w:r>
      <w:r>
        <w:rPr>
          <w:bCs/>
        </w:rPr>
        <w:t xml:space="preserve"> For the Board’s convenience, these arguments are presented in rule order.</w:t>
      </w:r>
    </w:p>
    <w:p w14:paraId="4816C27C" w14:textId="7AB2496A" w:rsidR="00B02F67" w:rsidRDefault="00B02F67" w:rsidP="00B02F67">
      <w:pPr>
        <w:spacing w:after="0" w:line="480" w:lineRule="auto"/>
        <w:ind w:firstLine="720"/>
        <w:jc w:val="both"/>
        <w:rPr>
          <w:rFonts w:cs="Times New Roman"/>
          <w:szCs w:val="24"/>
        </w:rPr>
      </w:pPr>
      <w:r>
        <w:rPr>
          <w:b/>
          <w:i/>
          <w:iCs/>
        </w:rPr>
        <w:t xml:space="preserve">Scope, 20.2.50.2 NMAC. </w:t>
      </w:r>
      <w:r>
        <w:rPr>
          <w:bCs/>
        </w:rPr>
        <w:t>The legislature has limited the applicability of 20.2.50 NMAC</w:t>
      </w:r>
      <w:r>
        <w:rPr>
          <w:rStyle w:val="FootnoteReference"/>
          <w:bCs/>
        </w:rPr>
        <w:footnoteReference w:id="2"/>
      </w:r>
      <w:r>
        <w:rPr>
          <w:bCs/>
        </w:rPr>
        <w:t xml:space="preserve">  to “</w:t>
      </w:r>
      <w:r w:rsidRPr="00B80D9D">
        <w:rPr>
          <w:rFonts w:cs="Times New Roman"/>
          <w:szCs w:val="24"/>
        </w:rPr>
        <w:t>sources of emissions within the area of the state where the ozone concentrations exceed ninety-five percent of the primary national ambient air quality standard.</w:t>
      </w:r>
      <w:r>
        <w:rPr>
          <w:rFonts w:cs="Times New Roman"/>
          <w:szCs w:val="24"/>
        </w:rPr>
        <w:t>”</w:t>
      </w:r>
      <w:r>
        <w:rPr>
          <w:bCs/>
        </w:rPr>
        <w:t xml:space="preserve">  The Department has selected counties as the “area of the state” underlying this evaluation and the “design value” for comparison against the ninety-five percent threshold.  </w:t>
      </w:r>
      <w:r w:rsidRPr="008E26E2">
        <w:rPr>
          <w:rFonts w:cs="Times New Roman"/>
          <w:szCs w:val="24"/>
        </w:rPr>
        <w:t xml:space="preserve">The only monitor in Rio Arriba County has a design </w:t>
      </w:r>
      <w:r w:rsidRPr="008E26E2">
        <w:rPr>
          <w:rFonts w:cs="Times New Roman"/>
          <w:szCs w:val="24"/>
        </w:rPr>
        <w:lastRenderedPageBreak/>
        <w:t>value less than 95% of the ozone NAAQS</w:t>
      </w:r>
      <w:r>
        <w:rPr>
          <w:rFonts w:cs="Times New Roman"/>
          <w:szCs w:val="24"/>
        </w:rPr>
        <w:t xml:space="preserve">, and </w:t>
      </w:r>
      <w:r w:rsidRPr="008E26E2">
        <w:rPr>
          <w:rFonts w:cs="Times New Roman"/>
          <w:szCs w:val="24"/>
        </w:rPr>
        <w:t>Chave</w:t>
      </w:r>
      <w:r>
        <w:rPr>
          <w:rFonts w:cs="Times New Roman"/>
          <w:szCs w:val="24"/>
        </w:rPr>
        <w:t>s</w:t>
      </w:r>
      <w:r w:rsidRPr="008E26E2">
        <w:rPr>
          <w:rFonts w:cs="Times New Roman"/>
          <w:szCs w:val="24"/>
        </w:rPr>
        <w:t xml:space="preserve"> County does not have a design value established.  </w:t>
      </w:r>
      <w:r w:rsidR="0006617C">
        <w:rPr>
          <w:rFonts w:cs="Times New Roman"/>
          <w:szCs w:val="24"/>
        </w:rPr>
        <w:t xml:space="preserve">Tr. </w:t>
      </w:r>
      <w:r w:rsidRPr="008E26E2">
        <w:rPr>
          <w:rFonts w:cs="Times New Roman"/>
          <w:szCs w:val="24"/>
        </w:rPr>
        <w:t xml:space="preserve">1:191:12-18.  </w:t>
      </w:r>
      <w:r>
        <w:rPr>
          <w:rFonts w:cs="Times New Roman"/>
          <w:szCs w:val="24"/>
        </w:rPr>
        <w:t>Because these “areas of the state” do not have design values exceeding ninety-five percent of the primary ozone standard, the Board currently lacks authority to impose 20.2.50 NMAC on sources located within these counties.</w:t>
      </w:r>
    </w:p>
    <w:p w14:paraId="2C2FF148" w14:textId="24B75B59" w:rsidR="00B02F67" w:rsidRPr="00BC4735" w:rsidRDefault="00B02F67" w:rsidP="00B02F67">
      <w:pPr>
        <w:spacing w:after="0" w:line="480" w:lineRule="auto"/>
        <w:ind w:firstLine="720"/>
        <w:jc w:val="both"/>
        <w:rPr>
          <w:rFonts w:cs="Times New Roman"/>
          <w:b/>
          <w:bCs/>
          <w:szCs w:val="24"/>
        </w:rPr>
      </w:pPr>
      <w:r>
        <w:rPr>
          <w:rFonts w:cs="Times New Roman"/>
          <w:b/>
          <w:bCs/>
          <w:i/>
          <w:iCs/>
          <w:szCs w:val="24"/>
        </w:rPr>
        <w:t xml:space="preserve">Applicability, 20.2.50.111 NMAC. </w:t>
      </w:r>
      <w:r>
        <w:rPr>
          <w:rFonts w:cs="Times New Roman"/>
          <w:szCs w:val="24"/>
        </w:rPr>
        <w:t xml:space="preserve">The record does not support NMED’s insistence that only an engineer is qualified to calculate potential to emit. </w:t>
      </w:r>
      <w:r>
        <w:t>The Board should ensure the integrity of potential to emit calculations by simply requiring</w:t>
      </w:r>
      <w:r w:rsidRPr="0011363F">
        <w:t xml:space="preserve"> that the engineer, consultant or inhouse staff be appropriately qualified</w:t>
      </w:r>
      <w:r>
        <w:t xml:space="preserve"> based on training and experience</w:t>
      </w:r>
      <w:r w:rsidRPr="0011363F">
        <w:t xml:space="preserve">.  </w:t>
      </w:r>
    </w:p>
    <w:p w14:paraId="46480FA7" w14:textId="29383848" w:rsidR="00B02F67" w:rsidRDefault="00B02F67" w:rsidP="00B02F67">
      <w:pPr>
        <w:spacing w:after="0" w:line="480" w:lineRule="auto"/>
        <w:ind w:firstLine="720"/>
        <w:jc w:val="both"/>
      </w:pPr>
      <w:r>
        <w:rPr>
          <w:b/>
          <w:i/>
          <w:iCs/>
        </w:rPr>
        <w:t xml:space="preserve">General Provisions, 20.2.50.112 NMAC. </w:t>
      </w:r>
      <w:r>
        <w:rPr>
          <w:bCs/>
        </w:rPr>
        <w:t xml:space="preserve">While the Department is no longer proposing the impracticable Emissions Monitoring Tagging (“EMT”) system, various section of 20.2.50 NMAC continue to </w:t>
      </w:r>
      <w:r w:rsidRPr="000044EF">
        <w:rPr>
          <w:rFonts w:eastAsia="Calibri" w:cstheme="minorHAnsi"/>
        </w:rPr>
        <w:t xml:space="preserve">require owners and operators to record a date and time stamp, including a GPS display of the location, for </w:t>
      </w:r>
      <w:r>
        <w:rPr>
          <w:rFonts w:eastAsia="Calibri" w:cstheme="minorHAnsi"/>
        </w:rPr>
        <w:t xml:space="preserve">certain </w:t>
      </w:r>
      <w:r w:rsidRPr="000044EF">
        <w:rPr>
          <w:rFonts w:eastAsia="Calibri" w:cstheme="minorHAnsi"/>
        </w:rPr>
        <w:t>monitoring events</w:t>
      </w:r>
      <w:r w:rsidR="007F5A8E">
        <w:rPr>
          <w:rFonts w:eastAsia="Calibri" w:cstheme="minorHAnsi"/>
        </w:rPr>
        <w:t xml:space="preserve">. The Department </w:t>
      </w:r>
      <w:r w:rsidR="00EB1D34">
        <w:rPr>
          <w:rFonts w:eastAsia="Calibri" w:cstheme="minorHAnsi"/>
        </w:rPr>
        <w:t>has committed to identify acceptable technologies within one year</w:t>
      </w:r>
      <w:r w:rsidR="00237BDB">
        <w:rPr>
          <w:rFonts w:eastAsia="Calibri" w:cstheme="minorHAnsi"/>
        </w:rPr>
        <w:t>.</w:t>
      </w:r>
      <w:r w:rsidR="00827352">
        <w:rPr>
          <w:rStyle w:val="FootnoteReference"/>
          <w:rFonts w:eastAsia="Calibri" w:cstheme="minorHAnsi"/>
        </w:rPr>
        <w:footnoteReference w:id="3"/>
      </w:r>
      <w:r w:rsidR="00237BDB">
        <w:rPr>
          <w:rFonts w:eastAsia="Calibri" w:cstheme="minorHAnsi"/>
        </w:rPr>
        <w:t xml:space="preserve"> In identifying these technologies, the Department has indicated it will engage with stakeholders and solicit and incorporate feedback. The Board should memorialize this commitment in the regulatory language or statements of reason. </w:t>
      </w:r>
      <w:r w:rsidR="001907DA">
        <w:rPr>
          <w:rFonts w:eastAsia="Calibri" w:cstheme="minorHAnsi"/>
        </w:rPr>
        <w:t xml:space="preserve"> </w:t>
      </w:r>
      <w:r w:rsidR="00237BDB">
        <w:rPr>
          <w:rFonts w:eastAsia="Calibri" w:cstheme="minorHAnsi"/>
        </w:rPr>
        <w:t xml:space="preserve">In its most recent proposal, the Department has also </w:t>
      </w:r>
      <w:r w:rsidR="001907DA">
        <w:rPr>
          <w:rFonts w:eastAsia="Calibri" w:cstheme="minorHAnsi"/>
        </w:rPr>
        <w:t xml:space="preserve">granted industry two years from </w:t>
      </w:r>
      <w:r w:rsidR="00237BDB">
        <w:rPr>
          <w:rFonts w:eastAsia="Calibri" w:cstheme="minorHAnsi"/>
        </w:rPr>
        <w:t>the date technologies are identified</w:t>
      </w:r>
      <w:r w:rsidR="001907DA">
        <w:rPr>
          <w:rFonts w:eastAsia="Calibri" w:cstheme="minorHAnsi"/>
        </w:rPr>
        <w:t xml:space="preserve"> to </w:t>
      </w:r>
      <w:r w:rsidR="00237BDB">
        <w:rPr>
          <w:rFonts w:eastAsia="Calibri" w:cstheme="minorHAnsi"/>
        </w:rPr>
        <w:t>finalize implementation.</w:t>
      </w:r>
      <w:r w:rsidR="00446697">
        <w:rPr>
          <w:rStyle w:val="FootnoteReference"/>
          <w:rFonts w:eastAsia="Calibri" w:cstheme="minorHAnsi"/>
        </w:rPr>
        <w:footnoteReference w:id="4"/>
      </w:r>
      <w:r w:rsidR="00237BDB">
        <w:rPr>
          <w:rFonts w:eastAsia="Calibri" w:cstheme="minorHAnsi"/>
        </w:rPr>
        <w:t xml:space="preserve"> NMOGA asks the Board to adopt this extended timeline, which is responsive to voluminous testimony concerning the impracticality of integrating technologies for an entire industry </w:t>
      </w:r>
      <w:r w:rsidR="00827352">
        <w:rPr>
          <w:rFonts w:eastAsia="Calibri" w:cstheme="minorHAnsi"/>
        </w:rPr>
        <w:t>with</w:t>
      </w:r>
      <w:r w:rsidR="00237BDB">
        <w:rPr>
          <w:rFonts w:eastAsia="Calibri" w:cstheme="minorHAnsi"/>
        </w:rPr>
        <w:t>in a shorter timeframe.</w:t>
      </w:r>
      <w:r w:rsidR="001907DA">
        <w:rPr>
          <w:rFonts w:eastAsia="Calibri" w:cstheme="minorHAnsi"/>
        </w:rPr>
        <w:t xml:space="preserve"> </w:t>
      </w:r>
      <w:r>
        <w:t xml:space="preserve"> </w:t>
      </w:r>
    </w:p>
    <w:p w14:paraId="558D51DC" w14:textId="5A411F3C" w:rsidR="00B02F67" w:rsidRDefault="00B02F67" w:rsidP="00B02F67">
      <w:pPr>
        <w:spacing w:after="0" w:line="480" w:lineRule="auto"/>
        <w:ind w:firstLine="720"/>
        <w:jc w:val="both"/>
        <w:rPr>
          <w:bCs/>
        </w:rPr>
      </w:pPr>
      <w:r>
        <w:rPr>
          <w:b/>
          <w:i/>
          <w:iCs/>
        </w:rPr>
        <w:t xml:space="preserve">Engines &amp; Turbines, 20.2.50.113 NMAC. </w:t>
      </w:r>
      <w:r>
        <w:rPr>
          <w:bCs/>
        </w:rPr>
        <w:t xml:space="preserve">While the Department’s initial petition imposed unworkable emissions limits on engines and turbines, the Department has now proposed standards that are both aggressive and achievable. The Department has also incorporated several crucial </w:t>
      </w:r>
      <w:r>
        <w:rPr>
          <w:bCs/>
        </w:rPr>
        <w:lastRenderedPageBreak/>
        <w:t xml:space="preserve">changes that eliminate unenforceable standards, provide flexibility, and ensure environmental protection. These include the exclusion of nonroad engines (20.2.50.113.A), the redefining of construction to exclude relocation and like-kind replacement (20.2.50.7.J), extended implementation timelines (20.2.50.113.B.2 and B.7(a)), an alternative compliance plan option (20.2.50.113.B(10)), an alternative emission standard allowance in cases of technical impracticability or economic infeasibility (20.2.50.113.B(11)), and the incorporation of the short-term replacement engine substitution concept currently authorized in many air quality permits (20.2.50.113.B(12). To ensure engine and turbine standards maintain “technical practicability and economic reasonableness,” the Board should finalize the tables and concepts as presented in the Department’s and NMOGA’s redlines. </w:t>
      </w:r>
    </w:p>
    <w:p w14:paraId="2453753E" w14:textId="722B335B" w:rsidR="00FA62DD" w:rsidRPr="00FA62DD" w:rsidRDefault="00FA62DD" w:rsidP="00B02F67">
      <w:pPr>
        <w:spacing w:after="0" w:line="480" w:lineRule="auto"/>
        <w:ind w:firstLine="720"/>
        <w:jc w:val="both"/>
        <w:rPr>
          <w:bCs/>
        </w:rPr>
      </w:pPr>
      <w:r>
        <w:rPr>
          <w:b/>
          <w:i/>
          <w:iCs/>
        </w:rPr>
        <w:t xml:space="preserve">Control Devices, 20.2.50.115. </w:t>
      </w:r>
      <w:r>
        <w:rPr>
          <w:bCs/>
        </w:rPr>
        <w:t>NMOGA generally supports the standards for control devices in the Department’s latest proposal, except that</w:t>
      </w:r>
      <w:r w:rsidR="00FD0B47">
        <w:rPr>
          <w:bCs/>
        </w:rPr>
        <w:t xml:space="preserve"> </w:t>
      </w:r>
      <w:r>
        <w:rPr>
          <w:bCs/>
        </w:rPr>
        <w:t>the</w:t>
      </w:r>
      <w:r w:rsidR="00AE3056">
        <w:rPr>
          <w:bCs/>
        </w:rPr>
        <w:t xml:space="preserve"> record does not demonstrate that the more stringent</w:t>
      </w:r>
      <w:r>
        <w:rPr>
          <w:bCs/>
        </w:rPr>
        <w:t xml:space="preserve"> redundant control requirements under</w:t>
      </w:r>
      <w:r w:rsidR="00B03007">
        <w:rPr>
          <w:bCs/>
        </w:rPr>
        <w:t xml:space="preserve"> 20.2.50.115</w:t>
      </w:r>
      <w:r w:rsidR="00FD0B47">
        <w:rPr>
          <w:bCs/>
        </w:rPr>
        <w:t>.E.1(b)</w:t>
      </w:r>
      <w:r w:rsidR="00B03007">
        <w:rPr>
          <w:bCs/>
        </w:rPr>
        <w:t xml:space="preserve"> NMAC</w:t>
      </w:r>
      <w:r>
        <w:rPr>
          <w:bCs/>
        </w:rPr>
        <w:t xml:space="preserve"> a</w:t>
      </w:r>
      <w:r w:rsidR="00AE3056">
        <w:rPr>
          <w:bCs/>
        </w:rPr>
        <w:t xml:space="preserve">re more protective of ozone concentrations. The Board should not adopt these requirements. </w:t>
      </w:r>
    </w:p>
    <w:p w14:paraId="298A36BF" w14:textId="15DA899E" w:rsidR="00B02F67" w:rsidRDefault="00B02F67" w:rsidP="00B02F67">
      <w:pPr>
        <w:spacing w:after="0" w:line="480" w:lineRule="auto"/>
        <w:ind w:firstLine="720"/>
        <w:jc w:val="both"/>
        <w:rPr>
          <w:bCs/>
        </w:rPr>
      </w:pPr>
      <w:r>
        <w:rPr>
          <w:b/>
          <w:i/>
          <w:iCs/>
        </w:rPr>
        <w:t xml:space="preserve">Equipment Leaks and Fugitive Emissions, 20.2.50.116 NMAC. </w:t>
      </w:r>
      <w:r>
        <w:rPr>
          <w:bCs/>
        </w:rPr>
        <w:t xml:space="preserve">NMOGA’s proposed inspection frequencies and thresholds achieve significant emissions reductions, are supported by the record, and should be adopted by the Board. NMOGA urges the Board to not adopt the Department’s proposed thresholds and frequencies under 20.2.50.116 NMAC, which imposes unduly burdensome leak detection and repair requirements that contribute little to the statutorily prescribed goals of ozone attainment and maintenance. The Department’s proposed leak inspection frequencies under 20.2.50.116.C(3)(b), (c), and (e) impose a stringency that does not account for the diminishing returns of repetitive inspections and the escalating, exorbitant incremental costs. The proximity proposal under 20.2.50.116.C(3)(e) to require more frequent inspections at well </w:t>
      </w:r>
      <w:r>
        <w:rPr>
          <w:bCs/>
        </w:rPr>
        <w:lastRenderedPageBreak/>
        <w:t xml:space="preserve">sites within 1,000 feet of an occupied area also miss the mark and is worrying vague. The Board’s authority under NMSA 1978, </w:t>
      </w:r>
      <w:r w:rsidRPr="00B35857">
        <w:rPr>
          <w:rFonts w:cs="Times New Roman"/>
        </w:rPr>
        <w:t>§</w:t>
      </w:r>
      <w:r w:rsidRPr="00E03635">
        <w:rPr>
          <w:rFonts w:cs="Times New Roman"/>
          <w:bCs/>
        </w:rPr>
        <w:t> </w:t>
      </w:r>
      <w:r>
        <w:rPr>
          <w:bCs/>
        </w:rPr>
        <w:t xml:space="preserve">74-2-5.C and the notice provided to the public require that standards under 20.2.50 NMAC be targeted at attaining and maintaining the ozone primary standards. The proximity proposal is directed at mitigating impacts from direct emissions, not from ozone, which expert testimony admitted would not form in the 1,000-foot distance prescribed.  Testimony of Lee Ann Hill, Tr. 9:2848:10-10:2849:6. </w:t>
      </w:r>
    </w:p>
    <w:p w14:paraId="3662FE5A" w14:textId="7BDE292B" w:rsidR="00B02F67" w:rsidRDefault="00B02F67" w:rsidP="00B02F67">
      <w:pPr>
        <w:spacing w:after="0" w:line="480" w:lineRule="auto"/>
        <w:ind w:firstLine="720"/>
        <w:rPr>
          <w:rFonts w:cs="Times New Roman"/>
          <w:szCs w:val="24"/>
        </w:rPr>
      </w:pPr>
      <w:r>
        <w:rPr>
          <w:b/>
          <w:i/>
          <w:iCs/>
        </w:rPr>
        <w:t xml:space="preserve">Hydrocarbon Liquid Transfers, 20.2.50.120 NMAC. </w:t>
      </w:r>
      <w:r>
        <w:rPr>
          <w:bCs/>
        </w:rPr>
        <w:t xml:space="preserve">To ensure the </w:t>
      </w:r>
      <w:r>
        <w:rPr>
          <w:rFonts w:cs="Times New Roman"/>
          <w:szCs w:val="24"/>
        </w:rPr>
        <w:t>“technical practicability and economic reasonableness” of standards under 20.2.50.121 NMAC, the Board should finalize several changes proposed by the Department and NMOGA. These include</w:t>
      </w:r>
      <w:r w:rsidRPr="006735D9">
        <w:rPr>
          <w:rFonts w:cs="Times New Roman"/>
          <w:szCs w:val="24"/>
        </w:rPr>
        <w:t xml:space="preserve"> exclud</w:t>
      </w:r>
      <w:r>
        <w:rPr>
          <w:rFonts w:cs="Times New Roman"/>
          <w:szCs w:val="24"/>
        </w:rPr>
        <w:t>ing</w:t>
      </w:r>
      <w:r w:rsidRPr="006735D9">
        <w:rPr>
          <w:rFonts w:cs="Times New Roman"/>
          <w:szCs w:val="24"/>
        </w:rPr>
        <w:t xml:space="preserve"> liquid transfers involving produced water</w:t>
      </w:r>
      <w:r>
        <w:rPr>
          <w:rFonts w:cs="Times New Roman"/>
          <w:szCs w:val="24"/>
        </w:rPr>
        <w:t>, excluding</w:t>
      </w:r>
      <w:r w:rsidRPr="006735D9">
        <w:rPr>
          <w:rFonts w:cs="Times New Roman"/>
          <w:szCs w:val="24"/>
        </w:rPr>
        <w:t xml:space="preserve"> production facilities and associated tank batteries delivering liquids directly </w:t>
      </w:r>
      <w:r>
        <w:rPr>
          <w:rFonts w:cs="Times New Roman"/>
          <w:szCs w:val="24"/>
        </w:rPr>
        <w:t xml:space="preserve">to </w:t>
      </w:r>
      <w:r w:rsidRPr="006735D9">
        <w:rPr>
          <w:rFonts w:cs="Times New Roman"/>
          <w:szCs w:val="24"/>
        </w:rPr>
        <w:t>pipelines</w:t>
      </w:r>
      <w:r>
        <w:rPr>
          <w:rFonts w:cs="Times New Roman"/>
          <w:szCs w:val="24"/>
        </w:rPr>
        <w:t>, excluding sources t</w:t>
      </w:r>
      <w:r w:rsidRPr="006735D9">
        <w:rPr>
          <w:rFonts w:cs="Times New Roman"/>
          <w:szCs w:val="24"/>
        </w:rPr>
        <w:t>hat perform less than 13 loadouts per year</w:t>
      </w:r>
      <w:r>
        <w:rPr>
          <w:rFonts w:cs="Times New Roman"/>
          <w:szCs w:val="24"/>
        </w:rPr>
        <w:t>, allowing</w:t>
      </w:r>
      <w:r w:rsidRPr="006735D9">
        <w:rPr>
          <w:rFonts w:cs="Times New Roman"/>
          <w:szCs w:val="24"/>
        </w:rPr>
        <w:t xml:space="preserve"> semiannual</w:t>
      </w:r>
      <w:r>
        <w:rPr>
          <w:rFonts w:cs="Times New Roman"/>
          <w:szCs w:val="24"/>
        </w:rPr>
        <w:t xml:space="preserve"> inspections</w:t>
      </w:r>
      <w:r w:rsidRPr="006735D9">
        <w:rPr>
          <w:rFonts w:cs="Times New Roman"/>
          <w:szCs w:val="24"/>
        </w:rPr>
        <w:t xml:space="preserve"> at unstaffed locations</w:t>
      </w:r>
      <w:r>
        <w:rPr>
          <w:rFonts w:cs="Times New Roman"/>
          <w:szCs w:val="24"/>
        </w:rPr>
        <w:t>, and applying the extended implementation deadline under 20.2.50.123.B.(1) (rather than the 2-year deadline under 20.2.50.120 NMAC) to tanks used in hydrocarbon liquid transfers at gathering and boosting stations without controls.</w:t>
      </w:r>
      <w:r w:rsidR="005012B9" w:rsidRPr="005012B9">
        <w:rPr>
          <w:rFonts w:cs="Times New Roman"/>
          <w:szCs w:val="24"/>
        </w:rPr>
        <w:t xml:space="preserve"> </w:t>
      </w:r>
      <w:r w:rsidR="005012B9">
        <w:rPr>
          <w:rFonts w:cs="Times New Roman"/>
          <w:szCs w:val="24"/>
        </w:rPr>
        <w:t>These changes are needed to eliminate costly measures that have no demonstrable ozone benefit and adjust implementation to reflect current supply chain challenges.</w:t>
      </w:r>
    </w:p>
    <w:p w14:paraId="0EC488AF" w14:textId="14DE4E5C" w:rsidR="00B02F67" w:rsidRPr="00700BDE" w:rsidRDefault="00B02F67" w:rsidP="00B02F67">
      <w:pPr>
        <w:spacing w:after="0" w:line="480" w:lineRule="auto"/>
        <w:ind w:firstLine="720"/>
        <w:rPr>
          <w:rFonts w:cs="Times New Roman"/>
          <w:szCs w:val="24"/>
        </w:rPr>
      </w:pPr>
      <w:r>
        <w:rPr>
          <w:rFonts w:cs="Times New Roman"/>
          <w:b/>
          <w:bCs/>
          <w:i/>
          <w:iCs/>
          <w:szCs w:val="24"/>
        </w:rPr>
        <w:t xml:space="preserve">Pig Launching &amp; Receiving, 20.2.50.121 NMAC, and Well Workovers, 20.2.50.124 NMAC. </w:t>
      </w:r>
      <w:r>
        <w:rPr>
          <w:rFonts w:cs="Times New Roman"/>
          <w:szCs w:val="24"/>
        </w:rPr>
        <w:t>The record does not demonstrate that pig launching and receiving and well workover standards will</w:t>
      </w:r>
      <w:r w:rsidR="002347FC">
        <w:rPr>
          <w:rFonts w:cs="Times New Roman"/>
          <w:szCs w:val="24"/>
        </w:rPr>
        <w:t xml:space="preserve"> contribute</w:t>
      </w:r>
      <w:r>
        <w:rPr>
          <w:rFonts w:cs="Times New Roman"/>
          <w:szCs w:val="24"/>
        </w:rPr>
        <w:t xml:space="preserve"> demonstrably</w:t>
      </w:r>
      <w:r w:rsidR="002347FC">
        <w:rPr>
          <w:rFonts w:cs="Times New Roman"/>
          <w:szCs w:val="24"/>
        </w:rPr>
        <w:t xml:space="preserve"> to ensuring </w:t>
      </w:r>
      <w:r>
        <w:rPr>
          <w:rFonts w:cs="Times New Roman"/>
          <w:szCs w:val="24"/>
        </w:rPr>
        <w:t>attainment or maintenance of the primary ozone standards. Their adoption is not supported by the record and would imperil the legal soundness of the rule.  If the Board decides to proceed anyway, despite the negligible ozone benefit, then the requested redlines should be made to reduce the burden.</w:t>
      </w:r>
    </w:p>
    <w:p w14:paraId="24BC47B7" w14:textId="2F70DD17" w:rsidR="00B02F67" w:rsidRDefault="00B02F67" w:rsidP="00B02F67">
      <w:pPr>
        <w:spacing w:after="0" w:line="480" w:lineRule="auto"/>
        <w:ind w:firstLine="720"/>
        <w:jc w:val="both"/>
        <w:rPr>
          <w:bCs/>
        </w:rPr>
      </w:pPr>
      <w:r>
        <w:rPr>
          <w:b/>
          <w:i/>
          <w:iCs/>
        </w:rPr>
        <w:lastRenderedPageBreak/>
        <w:t xml:space="preserve">Pneumatic Controllers and Pumps, 20.2.50.122 NMAC.  </w:t>
      </w:r>
      <w:r>
        <w:rPr>
          <w:bCs/>
        </w:rPr>
        <w:t xml:space="preserve">The Board should adopt NMED’s proposed 20.2.50.122 NMAC (with minor revisions) because it requires reasonable but significant VOCs reductions from pneumatic controllers. NMOGA has proposed minor revisions, which the Department has reviewed and agreed with in concept, to improve implementation. These revisions clarify replacement requirements at existing facilities, clarify that compliance is set based on the tables, set forth a compliance methodology for determining compliance on January 1, 2024, 2027 and 2030, and provide greater certainty in handling controllers necessary for safety and process reasons.  The revisions and their evidentiary basis are explained in this brief and the NMOGA redline.  Board should reject proposals by other stakeholders to increase the stringency of pneumatics requirements because increasing stringency is unnecessary and, in many respects, impractical. </w:t>
      </w:r>
    </w:p>
    <w:p w14:paraId="6617FC6A" w14:textId="77777777" w:rsidR="00B02F67" w:rsidRDefault="00B02F67" w:rsidP="00B02F67">
      <w:pPr>
        <w:spacing w:after="0" w:line="480" w:lineRule="auto"/>
        <w:ind w:firstLine="720"/>
        <w:jc w:val="both"/>
        <w:rPr>
          <w:bCs/>
        </w:rPr>
      </w:pPr>
      <w:r>
        <w:rPr>
          <w:b/>
          <w:i/>
          <w:iCs/>
        </w:rPr>
        <w:t xml:space="preserve">Storage Vessels, 20.2.50.123 NMAC.  </w:t>
      </w:r>
      <w:r>
        <w:rPr>
          <w:bCs/>
        </w:rPr>
        <w:t xml:space="preserve">NMOGA generally supports the Department’s proposal for controlling storage vessels under 20.2.50.123 NMAC, except that the 3 </w:t>
      </w:r>
      <w:proofErr w:type="spellStart"/>
      <w:r>
        <w:rPr>
          <w:bCs/>
        </w:rPr>
        <w:t>tpy</w:t>
      </w:r>
      <w:proofErr w:type="spellEnd"/>
      <w:r>
        <w:rPr>
          <w:bCs/>
        </w:rPr>
        <w:t xml:space="preserve"> applicability threshold for existing single tank batteries is not economically reasonable for the reasons set forth by Mr. Meyer at the hearing. After further discussion with NMED and review of the technical evidence, NMED has proposed a 4 </w:t>
      </w:r>
      <w:proofErr w:type="spellStart"/>
      <w:r>
        <w:rPr>
          <w:bCs/>
        </w:rPr>
        <w:t>tpy</w:t>
      </w:r>
      <w:proofErr w:type="spellEnd"/>
      <w:r>
        <w:rPr>
          <w:bCs/>
        </w:rPr>
        <w:t xml:space="preserve"> threshold for these tanks in its latest draft. While this is positive movement, the record demonstrates that a 6 </w:t>
      </w:r>
      <w:proofErr w:type="spellStart"/>
      <w:r>
        <w:rPr>
          <w:bCs/>
        </w:rPr>
        <w:t>tpy</w:t>
      </w:r>
      <w:proofErr w:type="spellEnd"/>
      <w:r>
        <w:rPr>
          <w:bCs/>
        </w:rPr>
        <w:t xml:space="preserve"> threshold for existing single tank batteries is supported by substantial evidence.  Additionally, both NMOGA and the Department agree that the Board should defer immediate regulation of storage vessels at produced water management units from regulation under section 20.2.50.123 until the need for such controls is established under section 20.2.50.126 NMAC. </w:t>
      </w:r>
    </w:p>
    <w:p w14:paraId="413B4C8B" w14:textId="4441A5AB" w:rsidR="00B02F67" w:rsidRDefault="00B02F67" w:rsidP="00B02F67">
      <w:pPr>
        <w:spacing w:after="0" w:line="480" w:lineRule="auto"/>
        <w:ind w:firstLine="720"/>
        <w:jc w:val="both"/>
        <w:rPr>
          <w:bCs/>
        </w:rPr>
      </w:pPr>
      <w:r>
        <w:rPr>
          <w:b/>
          <w:i/>
          <w:iCs/>
        </w:rPr>
        <w:t xml:space="preserve">Produced Water Management Units, 20.2.50.126 NMAC. </w:t>
      </w:r>
      <w:bookmarkStart w:id="1" w:name="_Hlk93066608"/>
      <w:r>
        <w:rPr>
          <w:bCs/>
        </w:rPr>
        <w:t xml:space="preserve">The Department has made significant improvements to the produced water management unit standards under 20.2.50.126 </w:t>
      </w:r>
      <w:r>
        <w:rPr>
          <w:bCs/>
        </w:rPr>
        <w:lastRenderedPageBreak/>
        <w:t>NMAC by eliminating</w:t>
      </w:r>
      <w:r w:rsidRPr="001D3092">
        <w:rPr>
          <w:bCs/>
        </w:rPr>
        <w:t xml:space="preserve"> </w:t>
      </w:r>
      <w:r>
        <w:rPr>
          <w:bCs/>
        </w:rPr>
        <w:t>arbitrary emissions limits and unproven requirements to apply covers that route vapors to air pollution control devices. With available technology, these standards would have required the oil and gas industry to reduce the size of recycling operations and, in some cases, resort to freshwater. The Department has responded to these concerns by imposing requirements that are achievable with current technology and preserve industry’s ability to continue recycling activities. To further protect the industry’s ability to recycle water, NMOGA urges the Board to either exclude recycling facilities from the definition of produced water management units or, at the very least, to clarify that the 50,000 barrel applies to all facilities as was implied throughout the hearing. This change will help ensure that the recycling activities critical to New Mexico’s future can continue unimpeded.</w:t>
      </w:r>
    </w:p>
    <w:p w14:paraId="0C0D5154" w14:textId="690AEE03" w:rsidR="00334A31" w:rsidRPr="00334A31" w:rsidRDefault="00334A31" w:rsidP="00334A31">
      <w:pPr>
        <w:spacing w:after="0" w:line="480" w:lineRule="auto"/>
        <w:ind w:firstLine="720"/>
        <w:jc w:val="both"/>
        <w:rPr>
          <w:bCs/>
        </w:rPr>
      </w:pPr>
      <w:r>
        <w:rPr>
          <w:b/>
          <w:i/>
          <w:iCs/>
        </w:rPr>
        <w:t xml:space="preserve">NMOGA Final Redline. </w:t>
      </w:r>
      <w:r>
        <w:rPr>
          <w:bCs/>
        </w:rPr>
        <w:t xml:space="preserve">This brief does not address every argument for every change advocated by NMOGA. Additional </w:t>
      </w:r>
      <w:r w:rsidR="002E4467">
        <w:rPr>
          <w:bCs/>
        </w:rPr>
        <w:t xml:space="preserve">argument and </w:t>
      </w:r>
      <w:r>
        <w:rPr>
          <w:bCs/>
        </w:rPr>
        <w:t>record support for requested changes are available in NMOGA’s final annotated redline</w:t>
      </w:r>
      <w:r w:rsidR="002E4467">
        <w:rPr>
          <w:bCs/>
        </w:rPr>
        <w:t xml:space="preserve"> of 20.2.50 NMAC</w:t>
      </w:r>
      <w:r>
        <w:rPr>
          <w:bCs/>
        </w:rPr>
        <w:t xml:space="preserve">, submitted on January 20, 2022. </w:t>
      </w:r>
      <w:r w:rsidR="006419C6">
        <w:rPr>
          <w:bCs/>
        </w:rPr>
        <w:t xml:space="preserve">NMOGA </w:t>
      </w:r>
      <w:r w:rsidR="00990D6C">
        <w:rPr>
          <w:bCs/>
        </w:rPr>
        <w:t xml:space="preserve">incorporates those statements here. </w:t>
      </w:r>
    </w:p>
    <w:p w14:paraId="1AF448C4" w14:textId="77777777" w:rsidR="00B02F67" w:rsidRPr="00661096" w:rsidRDefault="00B02F67" w:rsidP="00661096">
      <w:pPr>
        <w:pStyle w:val="Heading1"/>
      </w:pPr>
      <w:bookmarkStart w:id="2" w:name="_Toc93563246"/>
      <w:bookmarkEnd w:id="1"/>
      <w:r w:rsidRPr="00661096">
        <w:t>ARGUMENT</w:t>
      </w:r>
      <w:bookmarkEnd w:id="2"/>
    </w:p>
    <w:p w14:paraId="289839A2" w14:textId="3682B222" w:rsidR="00B02F67" w:rsidRPr="00661096" w:rsidRDefault="00B02F67" w:rsidP="00661096">
      <w:pPr>
        <w:pStyle w:val="Heading2"/>
      </w:pPr>
      <w:bookmarkStart w:id="3" w:name="_Toc93563247"/>
      <w:r w:rsidRPr="00661096">
        <w:t>Stringency Relative to Federal Law. The Board Should Carefully Scrutinize All Sections of This Proposal That Are More Stringent than Federal Law and Reject Any Standard Where Public Notice Was Not Provided or Substantial Evidence of Greater Protectiveness Is Not in the Record.</w:t>
      </w:r>
      <w:bookmarkEnd w:id="3"/>
    </w:p>
    <w:p w14:paraId="72E7B8B1" w14:textId="5EC0B427" w:rsidR="00B02F67" w:rsidRDefault="00B02F67" w:rsidP="00B02F67">
      <w:pPr>
        <w:spacing w:after="0" w:line="480" w:lineRule="auto"/>
        <w:ind w:firstLine="720"/>
        <w:jc w:val="both"/>
        <w:rPr>
          <w:bCs/>
        </w:rPr>
      </w:pPr>
      <w:r w:rsidRPr="00EF1D48">
        <w:rPr>
          <w:bCs/>
        </w:rPr>
        <w:t>The federal C</w:t>
      </w:r>
      <w:r>
        <w:rPr>
          <w:bCs/>
        </w:rPr>
        <w:t xml:space="preserve">lean </w:t>
      </w:r>
      <w:r w:rsidRPr="00EF1D48">
        <w:rPr>
          <w:bCs/>
        </w:rPr>
        <w:t>A</w:t>
      </w:r>
      <w:r>
        <w:rPr>
          <w:bCs/>
        </w:rPr>
        <w:t xml:space="preserve">ir </w:t>
      </w:r>
      <w:r w:rsidRPr="00EF1D48">
        <w:rPr>
          <w:bCs/>
        </w:rPr>
        <w:t>A</w:t>
      </w:r>
      <w:r>
        <w:rPr>
          <w:bCs/>
        </w:rPr>
        <w:t>ct</w:t>
      </w:r>
      <w:r w:rsidRPr="00EF1D48">
        <w:rPr>
          <w:bCs/>
        </w:rPr>
        <w:t xml:space="preserve"> requires </w:t>
      </w:r>
      <w:r>
        <w:rPr>
          <w:bCs/>
        </w:rPr>
        <w:t xml:space="preserve">the U.S. </w:t>
      </w:r>
      <w:r w:rsidRPr="00EF1D48">
        <w:rPr>
          <w:bCs/>
        </w:rPr>
        <w:t>E</w:t>
      </w:r>
      <w:r>
        <w:rPr>
          <w:bCs/>
        </w:rPr>
        <w:t xml:space="preserve">nvironmental </w:t>
      </w:r>
      <w:r w:rsidRPr="00EF1D48">
        <w:rPr>
          <w:bCs/>
        </w:rPr>
        <w:t>P</w:t>
      </w:r>
      <w:r>
        <w:rPr>
          <w:bCs/>
        </w:rPr>
        <w:t xml:space="preserve">rotection </w:t>
      </w:r>
      <w:r w:rsidRPr="00EF1D48">
        <w:rPr>
          <w:bCs/>
        </w:rPr>
        <w:t>A</w:t>
      </w:r>
      <w:r>
        <w:rPr>
          <w:bCs/>
        </w:rPr>
        <w:t>gency (</w:t>
      </w:r>
      <w:r w:rsidRPr="00EF1D48">
        <w:rPr>
          <w:bCs/>
        </w:rPr>
        <w:t>EPA</w:t>
      </w:r>
      <w:r>
        <w:rPr>
          <w:bCs/>
        </w:rPr>
        <w:t>)</w:t>
      </w:r>
      <w:r w:rsidRPr="00EF1D48">
        <w:rPr>
          <w:bCs/>
        </w:rPr>
        <w:t xml:space="preserve"> to develop standards to combat air pollution, including standards for new sources of air pollution, 42 U.S.C. 7411, standards for sources of hazardous air pollutants, </w:t>
      </w:r>
      <w:r w:rsidRPr="0044424E">
        <w:rPr>
          <w:bCs/>
          <w:i/>
          <w:iCs/>
        </w:rPr>
        <w:t>Id</w:t>
      </w:r>
      <w:r w:rsidRPr="00EF1D48">
        <w:rPr>
          <w:bCs/>
        </w:rPr>
        <w:t>. 7412, and standards for the construction of new major sources and major modifications of existing major sources</w:t>
      </w:r>
      <w:r>
        <w:rPr>
          <w:bCs/>
        </w:rPr>
        <w:t xml:space="preserve">, among </w:t>
      </w:r>
      <w:r>
        <w:rPr>
          <w:bCs/>
        </w:rPr>
        <w:lastRenderedPageBreak/>
        <w:t>others</w:t>
      </w:r>
      <w:r w:rsidRPr="00EF1D48">
        <w:rPr>
          <w:bCs/>
        </w:rPr>
        <w:t xml:space="preserve">. 42 U.S.C., Chapter 85, Subchapter I, Parts C and D. </w:t>
      </w:r>
      <w:r>
        <w:rPr>
          <w:bCs/>
        </w:rPr>
        <w:t xml:space="preserve"> </w:t>
      </w:r>
      <w:r w:rsidRPr="00EF1D48">
        <w:rPr>
          <w:bCs/>
        </w:rPr>
        <w:t>The</w:t>
      </w:r>
      <w:r>
        <w:rPr>
          <w:bCs/>
        </w:rPr>
        <w:t xml:space="preserve">se </w:t>
      </w:r>
      <w:r w:rsidRPr="00EF1D48">
        <w:rPr>
          <w:bCs/>
        </w:rPr>
        <w:t>standards represent minimum requirements for sources of air pollution throughout the country.</w:t>
      </w:r>
      <w:r>
        <w:rPr>
          <w:bCs/>
        </w:rPr>
        <w:t xml:space="preserve"> States may adopt or enforce other emissions standards to control or abate air pollution that are more stringent than federal law, so long as state law authorizes such measures and the provisions are not impermissible for some other reason, such as federal preemption. 42 U.S.C. 7416.</w:t>
      </w:r>
    </w:p>
    <w:p w14:paraId="3EA54B06" w14:textId="77777777" w:rsidR="00B02F67" w:rsidRDefault="00B02F67" w:rsidP="00B02F67">
      <w:pPr>
        <w:spacing w:after="0" w:line="480" w:lineRule="auto"/>
        <w:ind w:firstLine="720"/>
        <w:jc w:val="both"/>
        <w:rPr>
          <w:bCs/>
        </w:rPr>
      </w:pPr>
      <w:r>
        <w:rPr>
          <w:bCs/>
        </w:rPr>
        <w:t>The New Mexico Legislature has limited Board’s authority to adopt standards that exceed the stringency of federal rules.  Before adopting stricter standards, the Board must make a “</w:t>
      </w:r>
      <w:r w:rsidRPr="00AB098C">
        <w:rPr>
          <w:bCs/>
        </w:rPr>
        <w:t xml:space="preserve">determination, based on substantial evidence and after notice and public hearing, that the proposed rule will be </w:t>
      </w:r>
      <w:r w:rsidRPr="00CA2453">
        <w:rPr>
          <w:bCs/>
          <w:i/>
          <w:iCs/>
        </w:rPr>
        <w:t>more protective</w:t>
      </w:r>
      <w:r w:rsidRPr="00AB098C">
        <w:rPr>
          <w:bCs/>
        </w:rPr>
        <w:t xml:space="preserve"> of public health and the environment</w:t>
      </w:r>
      <w:r>
        <w:rPr>
          <w:bCs/>
        </w:rPr>
        <w:t>.” NMSA</w:t>
      </w:r>
      <w:r w:rsidRPr="00D242CB">
        <w:rPr>
          <w:bCs/>
        </w:rPr>
        <w:t xml:space="preserve"> 1978, § </w:t>
      </w:r>
      <w:r>
        <w:rPr>
          <w:bCs/>
        </w:rPr>
        <w:t>74-2-</w:t>
      </w:r>
      <w:proofErr w:type="gramStart"/>
      <w:r>
        <w:rPr>
          <w:bCs/>
        </w:rPr>
        <w:t>5.G</w:t>
      </w:r>
      <w:proofErr w:type="gramEnd"/>
      <w:r>
        <w:rPr>
          <w:bCs/>
        </w:rPr>
        <w:t xml:space="preserve"> (emphases added). </w:t>
      </w:r>
    </w:p>
    <w:p w14:paraId="663BEE3C" w14:textId="3E5F7261" w:rsidR="00B02F67" w:rsidRDefault="00B02F67" w:rsidP="00B02F67">
      <w:pPr>
        <w:spacing w:after="0" w:line="480" w:lineRule="auto"/>
        <w:ind w:firstLine="720"/>
        <w:jc w:val="both"/>
        <w:rPr>
          <w:bCs/>
        </w:rPr>
      </w:pPr>
      <w:r>
        <w:rPr>
          <w:bCs/>
        </w:rPr>
        <w:t xml:space="preserve">Section 74-2-5 does not simply require a finding that the proposed state standard requires something that the existing federal standard does not. If that were so, the standard would be self-fulfilling and meaningless because the conditions for applying the test—greater stringency—would be identical to the conditions for satisfying it. Instead, </w:t>
      </w:r>
      <w:r>
        <w:t>section 74-2-</w:t>
      </w:r>
      <w:proofErr w:type="gramStart"/>
      <w:r>
        <w:t>5.G</w:t>
      </w:r>
      <w:proofErr w:type="gramEnd"/>
      <w:r>
        <w:rPr>
          <w:bCs/>
        </w:rPr>
        <w:t xml:space="preserve"> requires the Board to find that the proposed standard will provide greater protection to public health and the environment in a way that is meaningful under the New Mexico Air Quality Act. In the context of a rulemaking aimed at reducing ozone concentrations</w:t>
      </w:r>
      <w:r w:rsidRPr="0032382D">
        <w:rPr>
          <w:bCs/>
        </w:rPr>
        <w:t>,</w:t>
      </w:r>
      <w:r>
        <w:rPr>
          <w:bCs/>
        </w:rPr>
        <w:t xml:space="preserve"> that means</w:t>
      </w:r>
      <w:r w:rsidRPr="0032382D">
        <w:rPr>
          <w:bCs/>
        </w:rPr>
        <w:t xml:space="preserve"> </w:t>
      </w:r>
      <w:r>
        <w:rPr>
          <w:bCs/>
        </w:rPr>
        <w:t xml:space="preserve">the standards should </w:t>
      </w:r>
      <w:r w:rsidRPr="0032382D">
        <w:rPr>
          <w:bCs/>
        </w:rPr>
        <w:t xml:space="preserve">reduce ambient </w:t>
      </w:r>
      <w:r>
        <w:rPr>
          <w:bCs/>
        </w:rPr>
        <w:t xml:space="preserve">ozone </w:t>
      </w:r>
      <w:r w:rsidRPr="0032382D">
        <w:rPr>
          <w:bCs/>
        </w:rPr>
        <w:t xml:space="preserve">concentrations </w:t>
      </w:r>
      <w:r>
        <w:rPr>
          <w:bCs/>
        </w:rPr>
        <w:t>and thereby</w:t>
      </w:r>
      <w:r w:rsidRPr="0032382D">
        <w:rPr>
          <w:bCs/>
        </w:rPr>
        <w:t xml:space="preserve"> improve the attainment and maintenance of the </w:t>
      </w:r>
      <w:r>
        <w:rPr>
          <w:bCs/>
        </w:rPr>
        <w:t xml:space="preserve">ozone </w:t>
      </w:r>
      <w:r w:rsidRPr="0032382D">
        <w:rPr>
          <w:bCs/>
        </w:rPr>
        <w:t>NAAQS, which are designed to protect “public health and the environment</w:t>
      </w:r>
      <w:r>
        <w:rPr>
          <w:bCs/>
        </w:rPr>
        <w:t xml:space="preserve">.” </w:t>
      </w:r>
      <w:r>
        <w:rPr>
          <w:bCs/>
          <w:i/>
          <w:iCs/>
        </w:rPr>
        <w:t xml:space="preserve">See </w:t>
      </w:r>
      <w:r w:rsidRPr="00D242CB">
        <w:rPr>
          <w:bCs/>
        </w:rPr>
        <w:t xml:space="preserve">§ </w:t>
      </w:r>
      <w:r>
        <w:rPr>
          <w:bCs/>
        </w:rPr>
        <w:t>74-2-</w:t>
      </w:r>
      <w:proofErr w:type="gramStart"/>
      <w:r>
        <w:rPr>
          <w:bCs/>
        </w:rPr>
        <w:t>5.G</w:t>
      </w:r>
      <w:proofErr w:type="gramEnd"/>
      <w:r>
        <w:rPr>
          <w:bCs/>
        </w:rPr>
        <w:t xml:space="preserve"> (requiring rule to be “more protective of public health and the environment”); 42 U.S.C. 7409(b) (requiring NAAQS to be protective of public health and welfare). </w:t>
      </w:r>
      <w:r w:rsidR="006B1640">
        <w:rPr>
          <w:bCs/>
        </w:rPr>
        <w:t xml:space="preserve">There must be, at least, substantial evidence in the record to support the finding required by the statute.  That said, the Board is not compelled to adopt a provision where there is substantial evidence to support the </w:t>
      </w:r>
      <w:r w:rsidR="006B1640">
        <w:rPr>
          <w:bCs/>
        </w:rPr>
        <w:lastRenderedPageBreak/>
        <w:t>required finding.  Instead, the Board has a duty to weigh competing evidence and to adopt or reject a particular proposal based on the weight of the evidence.</w:t>
      </w:r>
    </w:p>
    <w:p w14:paraId="242F5176" w14:textId="6EB3B758" w:rsidR="00B02F67" w:rsidRDefault="00B02F67" w:rsidP="00B02F67">
      <w:pPr>
        <w:spacing w:after="0" w:line="480" w:lineRule="auto"/>
        <w:ind w:firstLine="720"/>
        <w:jc w:val="both"/>
        <w:rPr>
          <w:bCs/>
        </w:rPr>
      </w:pPr>
      <w:r>
        <w:rPr>
          <w:bCs/>
        </w:rPr>
        <w:t xml:space="preserve">To implement these statutory directives, the Board must provide public notice that it intends to adopt standards more stringent than federal law, identify each substantive requirement of the proposal, compare that requirement against any federal counterpart, and evaluate the protectiveness of any standard that requires something that federal law does not.  A standard should be rejected if the Board did not provide public notice that it intended to go beyond federal requirements or if the standard does not advance ozone attainment and maintenance in a way that is more protective than the standard’s federal counterpart. </w:t>
      </w:r>
    </w:p>
    <w:p w14:paraId="4654D14A" w14:textId="3E0EE17E" w:rsidR="00B02F67" w:rsidRDefault="00B02F67" w:rsidP="00B02F67">
      <w:pPr>
        <w:spacing w:after="0" w:line="480" w:lineRule="auto"/>
        <w:ind w:firstLine="720"/>
        <w:jc w:val="both"/>
        <w:rPr>
          <w:bCs/>
        </w:rPr>
      </w:pPr>
      <w:r>
        <w:rPr>
          <w:bCs/>
        </w:rPr>
        <w:t xml:space="preserve">To honor the intent of the legislature, the Board must conduct this protectiveness evaluation individually for every proposal that exceeds the stringency of federal law. The Board cannot simply conclude that 20.2.50 NMAC </w:t>
      </w:r>
      <w:proofErr w:type="gramStart"/>
      <w:r>
        <w:rPr>
          <w:bCs/>
        </w:rPr>
        <w:t>as a whole is</w:t>
      </w:r>
      <w:proofErr w:type="gramEnd"/>
      <w:r>
        <w:rPr>
          <w:bCs/>
        </w:rPr>
        <w:t xml:space="preserve"> more protective than the existing patchwork of federal requirements applicable to oil and gas operators. This approach would render the statutory directive meaningless because it would allow the Board to adopt any number of ineffective standards so long as the rule package contained at least one measure that provided an iota of greater protection. The legislation supports that one measure; it cannot be argued it supports the others.</w:t>
      </w:r>
    </w:p>
    <w:p w14:paraId="3EEDF147" w14:textId="77777777" w:rsidR="00B02F67" w:rsidRPr="00EF1D48" w:rsidRDefault="00B02F67" w:rsidP="00B02F67">
      <w:pPr>
        <w:spacing w:after="0" w:line="480" w:lineRule="auto"/>
        <w:ind w:firstLine="720"/>
        <w:rPr>
          <w:bCs/>
        </w:rPr>
      </w:pPr>
      <w:r>
        <w:rPr>
          <w:bCs/>
        </w:rPr>
        <w:t>For this rule to survive scrutiny, the Board must correctly find that it provided public notice of its intent to adopt more stringent standards for affected sections and that the standards at issue provide greater protectiveness. As explained more fully throughout, the record does not support this finding for several aspects of the rule:</w:t>
      </w:r>
      <w:r>
        <w:rPr>
          <w:rStyle w:val="FootnoteReference"/>
          <w:bCs/>
        </w:rPr>
        <w:footnoteReference w:id="5"/>
      </w:r>
    </w:p>
    <w:p w14:paraId="494E1220" w14:textId="6024E5D1" w:rsidR="00B02F67" w:rsidRDefault="00B02F67" w:rsidP="00B02F67">
      <w:pPr>
        <w:pStyle w:val="ListParagraph"/>
        <w:numPr>
          <w:ilvl w:val="0"/>
          <w:numId w:val="19"/>
        </w:numPr>
        <w:spacing w:after="0" w:line="480" w:lineRule="auto"/>
        <w:jc w:val="both"/>
        <w:rPr>
          <w:bCs/>
        </w:rPr>
      </w:pPr>
      <w:r>
        <w:rPr>
          <w:bCs/>
        </w:rPr>
        <w:lastRenderedPageBreak/>
        <w:t>Redundant</w:t>
      </w:r>
      <w:r w:rsidR="002E44E2">
        <w:rPr>
          <w:bCs/>
        </w:rPr>
        <w:t xml:space="preserve"> VRU</w:t>
      </w:r>
      <w:r>
        <w:rPr>
          <w:bCs/>
        </w:rPr>
        <w:t xml:space="preserve"> control requirements</w:t>
      </w:r>
      <w:r w:rsidR="002E44E2">
        <w:rPr>
          <w:bCs/>
        </w:rPr>
        <w:t xml:space="preserve"> under 20.2.115</w:t>
      </w:r>
      <w:r w:rsidR="00964D4B">
        <w:rPr>
          <w:bCs/>
        </w:rPr>
        <w:t>.E(1)(b) NMAC</w:t>
      </w:r>
      <w:r>
        <w:rPr>
          <w:bCs/>
        </w:rPr>
        <w:t>, which have no federal counterpart</w:t>
      </w:r>
      <w:r w:rsidR="00B74369">
        <w:rPr>
          <w:bCs/>
        </w:rPr>
        <w:t>.</w:t>
      </w:r>
    </w:p>
    <w:p w14:paraId="531A2D97" w14:textId="77777777" w:rsidR="00B02F67" w:rsidRDefault="00B02F67" w:rsidP="00B02F67">
      <w:pPr>
        <w:pStyle w:val="ListParagraph"/>
        <w:numPr>
          <w:ilvl w:val="0"/>
          <w:numId w:val="19"/>
        </w:numPr>
        <w:spacing w:after="0" w:line="480" w:lineRule="auto"/>
        <w:jc w:val="both"/>
        <w:rPr>
          <w:bCs/>
        </w:rPr>
      </w:pPr>
      <w:r>
        <w:rPr>
          <w:bCs/>
        </w:rPr>
        <w:t xml:space="preserve">Leak detection and repair requirements, including the LDAR proximity proposal, under 20.2.50.116 NMAC, which either have no federal counterpart or exceed the stringency of similar requirements under 40 C.F.R. Parts 60, Subparts OOOO and </w:t>
      </w:r>
      <w:proofErr w:type="spellStart"/>
      <w:r>
        <w:rPr>
          <w:bCs/>
        </w:rPr>
        <w:t>OOOOa</w:t>
      </w:r>
      <w:proofErr w:type="spellEnd"/>
      <w:r>
        <w:rPr>
          <w:rStyle w:val="FootnoteReference"/>
          <w:bCs/>
        </w:rPr>
        <w:footnoteReference w:id="6"/>
      </w:r>
      <w:r>
        <w:rPr>
          <w:bCs/>
        </w:rPr>
        <w:t>.</w:t>
      </w:r>
    </w:p>
    <w:p w14:paraId="2E53DD23" w14:textId="77777777" w:rsidR="00B02F67" w:rsidRDefault="00B02F67" w:rsidP="00B02F67">
      <w:pPr>
        <w:pStyle w:val="ListParagraph"/>
        <w:numPr>
          <w:ilvl w:val="0"/>
          <w:numId w:val="19"/>
        </w:numPr>
        <w:spacing w:after="0" w:line="480" w:lineRule="auto"/>
        <w:jc w:val="both"/>
        <w:rPr>
          <w:bCs/>
        </w:rPr>
      </w:pPr>
      <w:r>
        <w:rPr>
          <w:bCs/>
        </w:rPr>
        <w:t xml:space="preserve">Pig launching and receiving requirements under 20.2.50.121 NMAC, which have no federal counterpart. </w:t>
      </w:r>
    </w:p>
    <w:p w14:paraId="6257550A" w14:textId="77777777" w:rsidR="00B02F67" w:rsidRDefault="00B02F67" w:rsidP="00B02F67">
      <w:pPr>
        <w:pStyle w:val="ListParagraph"/>
        <w:numPr>
          <w:ilvl w:val="0"/>
          <w:numId w:val="19"/>
        </w:numPr>
        <w:spacing w:after="0" w:line="480" w:lineRule="auto"/>
        <w:jc w:val="both"/>
        <w:rPr>
          <w:bCs/>
        </w:rPr>
      </w:pPr>
      <w:r>
        <w:rPr>
          <w:bCs/>
        </w:rPr>
        <w:t xml:space="preserve">Storage vessel requirements under 20.2.50.123 NMAC, which exceed the stringency of similar requirements under 40 C.F.R. Parts 60, Subparts OOOO and </w:t>
      </w:r>
      <w:proofErr w:type="spellStart"/>
      <w:r>
        <w:rPr>
          <w:bCs/>
        </w:rPr>
        <w:t>OOOOa</w:t>
      </w:r>
      <w:proofErr w:type="spellEnd"/>
      <w:r>
        <w:rPr>
          <w:bCs/>
        </w:rPr>
        <w:t>.</w:t>
      </w:r>
    </w:p>
    <w:p w14:paraId="4B664BDB" w14:textId="77777777" w:rsidR="00B02F67" w:rsidRPr="00F16966" w:rsidRDefault="00B02F67" w:rsidP="00B02F67">
      <w:pPr>
        <w:pStyle w:val="ListParagraph"/>
        <w:numPr>
          <w:ilvl w:val="0"/>
          <w:numId w:val="19"/>
        </w:numPr>
        <w:spacing w:after="0" w:line="480" w:lineRule="auto"/>
        <w:jc w:val="both"/>
        <w:rPr>
          <w:bCs/>
        </w:rPr>
      </w:pPr>
      <w:r>
        <w:rPr>
          <w:bCs/>
        </w:rPr>
        <w:t xml:space="preserve">Well workover requirements under 20.2.50.124 NMAC, which have no federal counterpart. </w:t>
      </w:r>
    </w:p>
    <w:p w14:paraId="2E78E7A0" w14:textId="77777777" w:rsidR="00B02F67" w:rsidRPr="003E67B3" w:rsidRDefault="00B02F67" w:rsidP="00B02F67">
      <w:pPr>
        <w:pStyle w:val="ListParagraph"/>
        <w:numPr>
          <w:ilvl w:val="0"/>
          <w:numId w:val="19"/>
        </w:numPr>
        <w:spacing w:after="0" w:line="480" w:lineRule="auto"/>
        <w:jc w:val="both"/>
        <w:rPr>
          <w:bCs/>
        </w:rPr>
      </w:pPr>
      <w:r>
        <w:rPr>
          <w:bCs/>
        </w:rPr>
        <w:t>Produced water management unit requirements under 20.2.50.126, which have no federal counterpart.</w:t>
      </w:r>
    </w:p>
    <w:p w14:paraId="6F5AC182" w14:textId="77777777" w:rsidR="00B02F67" w:rsidRPr="00661096" w:rsidRDefault="00B02F67" w:rsidP="00661096">
      <w:pPr>
        <w:pStyle w:val="Heading2"/>
      </w:pPr>
      <w:bookmarkStart w:id="4" w:name="_Toc93563248"/>
      <w:r w:rsidRPr="00661096">
        <w:t>Economic Reasonableness. The Board Should Reject Proposals That Are Economically Unreasonable to Protect the Contributions the Oil and Gas Industry Makes to the New Mexico Economy.</w:t>
      </w:r>
      <w:bookmarkEnd w:id="4"/>
      <w:r w:rsidRPr="00661096">
        <w:t xml:space="preserve"> </w:t>
      </w:r>
    </w:p>
    <w:p w14:paraId="07BE9702" w14:textId="7F8DAF70" w:rsidR="00B02F67" w:rsidRDefault="00B02F67" w:rsidP="00B02F67">
      <w:pPr>
        <w:spacing w:after="0" w:line="480" w:lineRule="auto"/>
        <w:ind w:firstLine="720"/>
      </w:pPr>
      <w:r w:rsidRPr="00021F24">
        <w:rPr>
          <w:bCs/>
        </w:rPr>
        <w:t xml:space="preserve">The </w:t>
      </w:r>
      <w:r>
        <w:rPr>
          <w:bCs/>
        </w:rPr>
        <w:t>Board</w:t>
      </w:r>
      <w:r w:rsidRPr="00021F24">
        <w:rPr>
          <w:bCs/>
        </w:rPr>
        <w:t xml:space="preserve"> is required to give the weight it deems appropriate to the “economic reasonableness” of the proposed rule. NMSA 1978, </w:t>
      </w:r>
      <w:r w:rsidRPr="00172ED7">
        <w:rPr>
          <w:rFonts w:cs="Times New Roman"/>
          <w:szCs w:val="24"/>
        </w:rPr>
        <w:t>§</w:t>
      </w:r>
      <w:r w:rsidRPr="00AE7DAD">
        <w:rPr>
          <w:rFonts w:cs="Times New Roman"/>
          <w:szCs w:val="24"/>
        </w:rPr>
        <w:t xml:space="preserve"> </w:t>
      </w:r>
      <w:r w:rsidRPr="00021F24">
        <w:rPr>
          <w:bCs/>
        </w:rPr>
        <w:t>74-2-</w:t>
      </w:r>
      <w:proofErr w:type="gramStart"/>
      <w:r w:rsidRPr="00021F24">
        <w:rPr>
          <w:bCs/>
        </w:rPr>
        <w:t>5.G.</w:t>
      </w:r>
      <w:proofErr w:type="gramEnd"/>
      <w:r w:rsidRPr="00DF14C2">
        <w:rPr>
          <w:bCs/>
        </w:rPr>
        <w:t xml:space="preserve"> </w:t>
      </w:r>
      <w:r>
        <w:rPr>
          <w:bCs/>
        </w:rPr>
        <w:t xml:space="preserve">While the Board has latitude in assigning the relative </w:t>
      </w:r>
      <w:r w:rsidR="004675E2">
        <w:rPr>
          <w:bCs/>
        </w:rPr>
        <w:t xml:space="preserve">weight of the evidence relating to the factors it must consider under the Air </w:t>
      </w:r>
      <w:r w:rsidR="004675E2">
        <w:rPr>
          <w:bCs/>
        </w:rPr>
        <w:lastRenderedPageBreak/>
        <w:t xml:space="preserve">Quality Control </w:t>
      </w:r>
      <w:proofErr w:type="gramStart"/>
      <w:r w:rsidR="004675E2">
        <w:rPr>
          <w:bCs/>
        </w:rPr>
        <w:t>Act,</w:t>
      </w:r>
      <w:r>
        <w:rPr>
          <w:bCs/>
        </w:rPr>
        <w:t>,</w:t>
      </w:r>
      <w:proofErr w:type="gramEnd"/>
      <w:r>
        <w:rPr>
          <w:bCs/>
        </w:rPr>
        <w:t xml:space="preserve"> it must </w:t>
      </w:r>
      <w:r w:rsidRPr="00DF4918">
        <w:rPr>
          <w:bCs/>
          <w:i/>
          <w:iCs/>
        </w:rPr>
        <w:t>consider</w:t>
      </w:r>
      <w:r>
        <w:rPr>
          <w:bCs/>
        </w:rPr>
        <w:t xml:space="preserve"> economic reasonableness to determine the weight that should be assigned, and it cannot altogether disregard economic impacts.</w:t>
      </w:r>
      <w:r>
        <w:rPr>
          <w:rStyle w:val="FootnoteReference"/>
          <w:bCs/>
        </w:rPr>
        <w:footnoteReference w:id="7"/>
      </w:r>
      <w:r>
        <w:rPr>
          <w:bCs/>
        </w:rPr>
        <w:t xml:space="preserve"> </w:t>
      </w:r>
    </w:p>
    <w:p w14:paraId="35B3E817" w14:textId="77777777" w:rsidR="00B02F67" w:rsidRPr="00021F24" w:rsidRDefault="00B02F67" w:rsidP="00B02F67">
      <w:pPr>
        <w:spacing w:after="0" w:line="480" w:lineRule="auto"/>
        <w:ind w:firstLine="720"/>
        <w:rPr>
          <w:bCs/>
        </w:rPr>
      </w:pPr>
      <w:r w:rsidRPr="00021F24">
        <w:rPr>
          <w:bCs/>
        </w:rPr>
        <w:t xml:space="preserve">John Dunham, technical witness for NMOGA, supplied the only comprehensive economic analysis of the rule. NMOGA Exhibit A6. </w:t>
      </w:r>
      <w:r>
        <w:rPr>
          <w:bCs/>
        </w:rPr>
        <w:t>NMED pro</w:t>
      </w:r>
      <w:r w:rsidRPr="00021F24">
        <w:rPr>
          <w:bCs/>
        </w:rPr>
        <w:t>vided rebuttal testimony responding to Mr. Dunham’s analysis</w:t>
      </w:r>
      <w:r>
        <w:rPr>
          <w:bCs/>
        </w:rPr>
        <w:t xml:space="preserve"> (N</w:t>
      </w:r>
      <w:r w:rsidRPr="00021F24">
        <w:rPr>
          <w:bCs/>
        </w:rPr>
        <w:t>MED Rebuttal Exhibit 19</w:t>
      </w:r>
      <w:r>
        <w:rPr>
          <w:bCs/>
        </w:rPr>
        <w:t>) but disclaimed any obligation to perform an analysis of their own</w:t>
      </w:r>
      <w:r w:rsidRPr="00021F24">
        <w:rPr>
          <w:bCs/>
        </w:rPr>
        <w:t>.</w:t>
      </w:r>
      <w:r>
        <w:rPr>
          <w:bCs/>
        </w:rPr>
        <w:t xml:space="preserve"> </w:t>
      </w:r>
      <w:r>
        <w:rPr>
          <w:bCs/>
          <w:i/>
          <w:iCs/>
        </w:rPr>
        <w:t>See, e.g.,</w:t>
      </w:r>
      <w:r w:rsidRPr="00021F24">
        <w:rPr>
          <w:bCs/>
        </w:rPr>
        <w:t xml:space="preserve"> </w:t>
      </w:r>
      <w:r>
        <w:rPr>
          <w:bCs/>
        </w:rPr>
        <w:t>Tr. 3:851:12-21.</w:t>
      </w:r>
    </w:p>
    <w:p w14:paraId="51DB9551" w14:textId="77777777" w:rsidR="00B02F67" w:rsidRPr="00021F24" w:rsidRDefault="00B02F67" w:rsidP="00B02F67">
      <w:pPr>
        <w:spacing w:after="0" w:line="480" w:lineRule="auto"/>
        <w:ind w:firstLine="720"/>
        <w:rPr>
          <w:bCs/>
        </w:rPr>
      </w:pPr>
      <w:r w:rsidRPr="00021F24">
        <w:rPr>
          <w:bCs/>
        </w:rPr>
        <w:t>Mr. Dunham testified that “the rule would cost oil and natural gas producers in the state a minimum of $3.8 billion 2020 dollars in direct administrative and operational costs over a 5-year period, with the bulk of these costs occurring in the first year or two.” NMOGA Exhibit A6:2:13-15. Mr. Dunham estimated that this “could lead to a loss of as many as 3,217 jobs in the petroleum production industry in New Mexico and cost the state’s economy $674.2 million annually. In addition, the state and its localities would receive almost $22.9 million less in tax revenue from businesses and employees in the oil and gas industry. This does not include reduced royalty and severance tax revenues resulting from lower production.” Exhibit A6, “Estimated Costs of Proposed Ozone Precursor Rule on Oil and Natural Gas Development in New Mexico,” at 1.</w:t>
      </w:r>
    </w:p>
    <w:p w14:paraId="6FFC31E5" w14:textId="77777777" w:rsidR="00B02F67" w:rsidRPr="00021F24" w:rsidRDefault="00B02F67" w:rsidP="00B02F67">
      <w:pPr>
        <w:spacing w:after="0" w:line="480" w:lineRule="auto"/>
        <w:ind w:firstLine="720"/>
        <w:rPr>
          <w:bCs/>
        </w:rPr>
      </w:pPr>
      <w:r w:rsidRPr="00021F24">
        <w:rPr>
          <w:bCs/>
        </w:rPr>
        <w:t xml:space="preserve">NMED witnesses Brian Palmer and Susan Day testified that Mr. Dunham’s cost estimates were not well supported. NMED Rebuttal Exhibit 19. NMED estimated the costs of the rule to be $338 million per year, amounting to $1.7 billion in costs over 5 years. NMED Rebuttal Exhibit 19:2:19. NMED witnesses later revised this estimate to be $215 million per year or $1.1 billion in costs over 5 years. </w:t>
      </w:r>
      <w:r>
        <w:rPr>
          <w:bCs/>
        </w:rPr>
        <w:t>Tr.</w:t>
      </w:r>
      <w:r w:rsidRPr="00021F24">
        <w:rPr>
          <w:bCs/>
        </w:rPr>
        <w:t xml:space="preserve">, 3:795:5-10. </w:t>
      </w:r>
    </w:p>
    <w:p w14:paraId="3913067E" w14:textId="436FC7F3" w:rsidR="00B02F67" w:rsidRPr="00021F24" w:rsidRDefault="00B02F67" w:rsidP="00B02F67">
      <w:pPr>
        <w:spacing w:after="0" w:line="480" w:lineRule="auto"/>
        <w:ind w:firstLine="720"/>
        <w:rPr>
          <w:bCs/>
        </w:rPr>
      </w:pPr>
      <w:r>
        <w:rPr>
          <w:bCs/>
        </w:rPr>
        <w:lastRenderedPageBreak/>
        <w:t xml:space="preserve">NMED’s rebuttal and surrebuttal testimony about the costs of the rule was confusing and misleading. </w:t>
      </w:r>
      <w:r w:rsidRPr="00021F24">
        <w:rPr>
          <w:bCs/>
        </w:rPr>
        <w:t xml:space="preserve">Unlike the $3.8 billion 5-year cost provided by Mr. Dunham, Mr. Palmer and Ms. Day’s 5-year estimate of $1.1 billion did not include all costs for the life of the rule. </w:t>
      </w:r>
      <w:r>
        <w:rPr>
          <w:bCs/>
        </w:rPr>
        <w:t>Tr.</w:t>
      </w:r>
      <w:r w:rsidRPr="00021F24">
        <w:rPr>
          <w:bCs/>
        </w:rPr>
        <w:t xml:space="preserve"> 3:820:4-7. NMED witnesses testified that they estimated the costs of the rule would be incurred over 15 years instead of 5 years. </w:t>
      </w:r>
      <w:r>
        <w:rPr>
          <w:bCs/>
        </w:rPr>
        <w:t>Tr.</w:t>
      </w:r>
      <w:r w:rsidRPr="00021F24">
        <w:rPr>
          <w:bCs/>
        </w:rPr>
        <w:t xml:space="preserve"> 3:808:8-17. Based on NMED’s estimated annualized costs of $215 million per year, the total costs of the rule over 15 years would be $3.2 billion.</w:t>
      </w:r>
      <w:r w:rsidR="0006617C">
        <w:rPr>
          <w:bCs/>
        </w:rPr>
        <w:t xml:space="preserve"> Tr.</w:t>
      </w:r>
      <w:r w:rsidRPr="00021F24">
        <w:rPr>
          <w:bCs/>
        </w:rPr>
        <w:t xml:space="preserve"> 3:832:13-16. Although NMED witnesses testified that they lacked sufficient information to evaluate Mr. Dunham’s report and identified miscellaneous errors, NMED’s $3.2 billion estimates for the total cost of the rule is consistent with Mr. Dunham’s $3.8 billion estimate and confirms that the rule will have significant impacts on the New Mexico economy. </w:t>
      </w:r>
    </w:p>
    <w:p w14:paraId="29ECE39F" w14:textId="77777777" w:rsidR="00B02F67" w:rsidRPr="00F47849" w:rsidRDefault="00B02F67" w:rsidP="00B02F67">
      <w:pPr>
        <w:spacing w:after="0" w:line="480" w:lineRule="auto"/>
        <w:ind w:firstLine="720"/>
        <w:rPr>
          <w:bCs/>
        </w:rPr>
      </w:pPr>
      <w:r>
        <w:rPr>
          <w:bCs/>
        </w:rPr>
        <w:t>The Board should put significant weight on the undisputed macroeconomic impacts of this rule as it deliberates the economic reasonableness of individual provisions</w:t>
      </w:r>
      <w:r w:rsidRPr="00021F24">
        <w:rPr>
          <w:bCs/>
        </w:rPr>
        <w:t xml:space="preserve">. As detailed below, </w:t>
      </w:r>
      <w:r>
        <w:rPr>
          <w:bCs/>
        </w:rPr>
        <w:t>various provisions of the rule impose unreasonable economic burdens relative to the air quality benefit anticipated and should not be adopted as proposed.</w:t>
      </w:r>
    </w:p>
    <w:p w14:paraId="7FE5080D" w14:textId="79906148" w:rsidR="00B02F67" w:rsidRPr="00661096" w:rsidRDefault="00B02F67" w:rsidP="00661096">
      <w:pPr>
        <w:pStyle w:val="Heading2"/>
      </w:pPr>
      <w:bookmarkStart w:id="5" w:name="_Toc93563249"/>
      <w:r w:rsidRPr="00661096">
        <w:t>Scope, 20.2.50.2 NMAC. The Board Should Not Apply This Rule to Rio Arriba and Chaves County Because These Counties Do Not Have Department Monitors Demonstrating the Design Value Exceeds 95% of The Ozone Standard.</w:t>
      </w:r>
      <w:bookmarkEnd w:id="5"/>
    </w:p>
    <w:p w14:paraId="1072CAE5" w14:textId="77777777" w:rsidR="00B02F67" w:rsidRPr="003C3ADC" w:rsidRDefault="00B02F67" w:rsidP="00B02F67">
      <w:pPr>
        <w:spacing w:after="0" w:line="480" w:lineRule="auto"/>
        <w:ind w:firstLine="720"/>
        <w:jc w:val="both"/>
        <w:rPr>
          <w:rFonts w:cs="Times New Roman"/>
          <w:szCs w:val="24"/>
        </w:rPr>
      </w:pPr>
      <w:r w:rsidRPr="003C3ADC">
        <w:rPr>
          <w:rFonts w:cs="Times New Roman"/>
          <w:szCs w:val="24"/>
        </w:rPr>
        <w:t xml:space="preserve">Section 74-2-5.C is clear that the </w:t>
      </w:r>
      <w:r>
        <w:rPr>
          <w:rFonts w:cs="Times New Roman"/>
          <w:szCs w:val="24"/>
        </w:rPr>
        <w:t>Board</w:t>
      </w:r>
      <w:r w:rsidRPr="003C3ADC">
        <w:rPr>
          <w:rFonts w:cs="Times New Roman"/>
          <w:szCs w:val="24"/>
        </w:rPr>
        <w:t>’s authority to adopt regulations is limited to those areas of the state exceeding 95 percent of the primary NAAQS:</w:t>
      </w:r>
      <w:r w:rsidRPr="00B80D9D">
        <w:rPr>
          <w:rFonts w:cs="Times New Roman"/>
          <w:szCs w:val="24"/>
        </w:rPr>
        <w:t xml:space="preserve"> </w:t>
      </w:r>
      <w:r>
        <w:rPr>
          <w:rFonts w:cs="Times New Roman"/>
          <w:szCs w:val="24"/>
        </w:rPr>
        <w:t>“</w:t>
      </w:r>
      <w:r w:rsidRPr="00B80D9D">
        <w:rPr>
          <w:rFonts w:cs="Times New Roman"/>
          <w:szCs w:val="24"/>
        </w:rPr>
        <w:t>Rules adopted pursuant to this subsection shall be limited to sources of emissions within the area of the state where the ozone concentrations exceed ninety-five percent of the primary national ambient air quality standard.</w:t>
      </w:r>
      <w:r>
        <w:rPr>
          <w:rFonts w:cs="Times New Roman"/>
          <w:szCs w:val="24"/>
        </w:rPr>
        <w:t>”</w:t>
      </w:r>
      <w:r w:rsidRPr="00CE03B1">
        <w:rPr>
          <w:rFonts w:cs="Times New Roman"/>
          <w:szCs w:val="24"/>
        </w:rPr>
        <w:t xml:space="preserve"> </w:t>
      </w:r>
      <w:r>
        <w:rPr>
          <w:rFonts w:cs="Times New Roman"/>
          <w:szCs w:val="24"/>
        </w:rPr>
        <w:t>NMSA 1978, § 74-2-</w:t>
      </w:r>
      <w:proofErr w:type="gramStart"/>
      <w:r>
        <w:rPr>
          <w:rFonts w:cs="Times New Roman"/>
          <w:szCs w:val="24"/>
        </w:rPr>
        <w:t>5.C.</w:t>
      </w:r>
      <w:proofErr w:type="gramEnd"/>
    </w:p>
    <w:p w14:paraId="1EDE6386" w14:textId="77777777" w:rsidR="00B02F67" w:rsidRPr="003C3ADC" w:rsidRDefault="00B02F67" w:rsidP="00B02F67">
      <w:pPr>
        <w:spacing w:after="0" w:line="480" w:lineRule="auto"/>
        <w:ind w:firstLine="720"/>
        <w:jc w:val="both"/>
        <w:rPr>
          <w:rFonts w:cs="Times New Roman"/>
          <w:szCs w:val="24"/>
        </w:rPr>
      </w:pPr>
      <w:r w:rsidRPr="003C3ADC">
        <w:rPr>
          <w:rFonts w:cs="Times New Roman"/>
          <w:szCs w:val="24"/>
        </w:rPr>
        <w:lastRenderedPageBreak/>
        <w:t>Rio Arriba County does not have a “design value” exceeding 95% of the NAAQS</w:t>
      </w:r>
      <w:r>
        <w:rPr>
          <w:rFonts w:cs="Times New Roman"/>
          <w:szCs w:val="24"/>
        </w:rPr>
        <w:t>. T</w:t>
      </w:r>
      <w:r w:rsidRPr="003C3ADC">
        <w:rPr>
          <w:rFonts w:cs="Times New Roman"/>
          <w:szCs w:val="24"/>
        </w:rPr>
        <w:t xml:space="preserve">he Department’s witnesses conceded this point.  </w:t>
      </w:r>
      <w:r>
        <w:rPr>
          <w:rFonts w:cs="Times New Roman"/>
          <w:szCs w:val="24"/>
        </w:rPr>
        <w:t>Baca testimony, Tr. 1:301:17-21</w:t>
      </w:r>
      <w:r w:rsidRPr="003C3ADC">
        <w:rPr>
          <w:rFonts w:cs="Times New Roman"/>
          <w:szCs w:val="24"/>
        </w:rPr>
        <w:t xml:space="preserve">.  </w:t>
      </w:r>
      <w:r>
        <w:rPr>
          <w:rFonts w:cs="Times New Roman"/>
          <w:szCs w:val="24"/>
        </w:rPr>
        <w:t>T</w:t>
      </w:r>
      <w:r w:rsidRPr="003C3ADC">
        <w:rPr>
          <w:rFonts w:cs="Times New Roman"/>
          <w:szCs w:val="24"/>
        </w:rPr>
        <w:t xml:space="preserve">he Department </w:t>
      </w:r>
      <w:r>
        <w:rPr>
          <w:rFonts w:cs="Times New Roman"/>
          <w:szCs w:val="24"/>
        </w:rPr>
        <w:t>has now</w:t>
      </w:r>
      <w:r w:rsidRPr="003C3ADC">
        <w:rPr>
          <w:rFonts w:cs="Times New Roman"/>
          <w:szCs w:val="24"/>
        </w:rPr>
        <w:t xml:space="preserve"> changed its position </w:t>
      </w:r>
      <w:r>
        <w:rPr>
          <w:rFonts w:cs="Times New Roman"/>
          <w:szCs w:val="24"/>
        </w:rPr>
        <w:t xml:space="preserve">to argue </w:t>
      </w:r>
      <w:r w:rsidRPr="003C3ADC">
        <w:rPr>
          <w:rFonts w:cs="Times New Roman"/>
          <w:szCs w:val="24"/>
        </w:rPr>
        <w:t>that because some place in the air quality control region has a design value that exceeds 95%, the whole air quality control region and any county partially within it should have that design value.  As the testimony elicited</w:t>
      </w:r>
      <w:r>
        <w:rPr>
          <w:rFonts w:cs="Times New Roman"/>
          <w:szCs w:val="24"/>
        </w:rPr>
        <w:t xml:space="preserve"> shows</w:t>
      </w:r>
      <w:r w:rsidRPr="003C3ADC">
        <w:rPr>
          <w:rFonts w:cs="Times New Roman"/>
          <w:szCs w:val="24"/>
        </w:rPr>
        <w:t xml:space="preserve">, that is not how design values work.  Having chosen the “county” as a basis for its proposed rule, the Department must justify its proposal on that basis.  </w:t>
      </w:r>
      <w:r>
        <w:rPr>
          <w:rFonts w:cs="Times New Roman"/>
          <w:szCs w:val="24"/>
        </w:rPr>
        <w:t>The</w:t>
      </w:r>
      <w:r w:rsidRPr="003C3ADC">
        <w:rPr>
          <w:rFonts w:cs="Times New Roman"/>
          <w:szCs w:val="24"/>
        </w:rPr>
        <w:t xml:space="preserve"> evidence shows that the only monitor in Rio Arriba County has a design value less than 95% of the ozone NAAQS and that </w:t>
      </w:r>
      <w:r>
        <w:rPr>
          <w:rFonts w:cs="Times New Roman"/>
          <w:szCs w:val="24"/>
        </w:rPr>
        <w:t>concentrations are trending downward</w:t>
      </w:r>
      <w:r w:rsidRPr="003C3ADC">
        <w:rPr>
          <w:rFonts w:cs="Times New Roman"/>
          <w:szCs w:val="24"/>
        </w:rPr>
        <w:t xml:space="preserve">.  There is no authority under the statute to impose proposed Part 50 on Rio Arriba County given the evidence before the </w:t>
      </w:r>
      <w:r>
        <w:rPr>
          <w:rFonts w:cs="Times New Roman"/>
          <w:szCs w:val="24"/>
        </w:rPr>
        <w:t>Board that it does not exceed 95% of the ozone NAAQS</w:t>
      </w:r>
      <w:r w:rsidRPr="003C3ADC">
        <w:rPr>
          <w:rFonts w:cs="Times New Roman"/>
          <w:szCs w:val="24"/>
        </w:rPr>
        <w:t>.</w:t>
      </w:r>
      <w:r>
        <w:rPr>
          <w:rFonts w:cs="Times New Roman"/>
          <w:szCs w:val="24"/>
        </w:rPr>
        <w:t xml:space="preserve">  NMSA 1978, § 74-2-</w:t>
      </w:r>
      <w:proofErr w:type="gramStart"/>
      <w:r>
        <w:rPr>
          <w:rFonts w:cs="Times New Roman"/>
          <w:szCs w:val="24"/>
        </w:rPr>
        <w:t>5.C.</w:t>
      </w:r>
      <w:proofErr w:type="gramEnd"/>
    </w:p>
    <w:p w14:paraId="549CC539" w14:textId="77777777" w:rsidR="00B02F67" w:rsidRDefault="00B02F67" w:rsidP="00B02F67">
      <w:pPr>
        <w:spacing w:after="0" w:line="480" w:lineRule="auto"/>
        <w:ind w:firstLine="720"/>
        <w:jc w:val="both"/>
        <w:rPr>
          <w:rFonts w:cs="Times New Roman"/>
          <w:szCs w:val="24"/>
        </w:rPr>
      </w:pPr>
      <w:r w:rsidRPr="003C3ADC">
        <w:rPr>
          <w:rFonts w:cs="Times New Roman"/>
          <w:szCs w:val="24"/>
        </w:rPr>
        <w:t>Similarly, Chaves County</w:t>
      </w:r>
      <w:r>
        <w:rPr>
          <w:rFonts w:cs="Times New Roman"/>
          <w:szCs w:val="24"/>
        </w:rPr>
        <w:t xml:space="preserve"> has no design value and should not be</w:t>
      </w:r>
      <w:r w:rsidRPr="003C3ADC">
        <w:rPr>
          <w:rFonts w:cs="Times New Roman"/>
          <w:szCs w:val="24"/>
        </w:rPr>
        <w:t xml:space="preserve"> included in Part 50.  </w:t>
      </w:r>
      <w:r>
        <w:rPr>
          <w:rFonts w:cs="Times New Roman"/>
          <w:szCs w:val="24"/>
        </w:rPr>
        <w:t>Tr. 1:191:12-18</w:t>
      </w:r>
      <w:r w:rsidRPr="003C3ADC">
        <w:rPr>
          <w:rFonts w:cs="Times New Roman"/>
          <w:szCs w:val="24"/>
        </w:rPr>
        <w:t xml:space="preserve">.  The Department argued that it “contributes” to the ozone problem, but the “contribution” aspect of Section 74-2-5.C goes to the types of sources contributing to the ozone problem and </w:t>
      </w:r>
      <w:r>
        <w:rPr>
          <w:rFonts w:cs="Times New Roman"/>
          <w:szCs w:val="24"/>
        </w:rPr>
        <w:t>does not authorize regulation of those sources unless they are in an area of the state exceeding 95% of the NAAQS</w:t>
      </w:r>
      <w:r w:rsidRPr="003C3ADC">
        <w:rPr>
          <w:rFonts w:cs="Times New Roman"/>
          <w:szCs w:val="24"/>
        </w:rPr>
        <w:t>.  Section 74-2.5.C sets forth a two-step process</w:t>
      </w:r>
      <w:r>
        <w:rPr>
          <w:rFonts w:cs="Times New Roman"/>
          <w:szCs w:val="24"/>
        </w:rPr>
        <w:t xml:space="preserve"> before regulations may be adopted</w:t>
      </w:r>
      <w:r w:rsidRPr="003C3ADC">
        <w:rPr>
          <w:rFonts w:cs="Times New Roman"/>
          <w:szCs w:val="24"/>
        </w:rPr>
        <w:t xml:space="preserve">:  </w:t>
      </w:r>
      <w:r>
        <w:rPr>
          <w:rFonts w:cs="Times New Roman"/>
          <w:szCs w:val="24"/>
        </w:rPr>
        <w:t xml:space="preserve">In </w:t>
      </w:r>
      <w:r w:rsidRPr="003C3ADC">
        <w:rPr>
          <w:rFonts w:cs="Times New Roman"/>
          <w:szCs w:val="24"/>
        </w:rPr>
        <w:t>step 1</w:t>
      </w:r>
      <w:r>
        <w:rPr>
          <w:rFonts w:cs="Times New Roman"/>
          <w:szCs w:val="24"/>
        </w:rPr>
        <w:t>, the Board “determines that emissions from sources … cause or contribute to ozone concentrations</w:t>
      </w:r>
      <w:r w:rsidRPr="003C3ADC">
        <w:rPr>
          <w:rFonts w:cs="Times New Roman"/>
          <w:szCs w:val="24"/>
        </w:rPr>
        <w:t xml:space="preserve"> </w:t>
      </w:r>
      <w:r>
        <w:rPr>
          <w:rFonts w:cs="Times New Roman"/>
          <w:szCs w:val="24"/>
        </w:rPr>
        <w:t xml:space="preserve">in excess of ninety-five percent” of the primary ozone NAAQS.  </w:t>
      </w:r>
      <w:r w:rsidRPr="003C3ADC">
        <w:rPr>
          <w:rFonts w:cs="Times New Roman"/>
          <w:szCs w:val="24"/>
        </w:rPr>
        <w:t xml:space="preserve"> </w:t>
      </w:r>
      <w:r>
        <w:rPr>
          <w:rFonts w:cs="Times New Roman"/>
          <w:szCs w:val="24"/>
        </w:rPr>
        <w:t xml:space="preserve">In </w:t>
      </w:r>
      <w:r w:rsidRPr="003C3ADC">
        <w:rPr>
          <w:rFonts w:cs="Times New Roman"/>
          <w:szCs w:val="24"/>
        </w:rPr>
        <w:t>step 2</w:t>
      </w:r>
      <w:r>
        <w:rPr>
          <w:rFonts w:cs="Times New Roman"/>
          <w:szCs w:val="24"/>
        </w:rPr>
        <w:t>, if this finding is made, then</w:t>
      </w:r>
      <w:r w:rsidRPr="003C3ADC">
        <w:rPr>
          <w:rFonts w:cs="Times New Roman"/>
          <w:szCs w:val="24"/>
        </w:rPr>
        <w:t xml:space="preserve"> </w:t>
      </w:r>
      <w:r>
        <w:rPr>
          <w:rFonts w:cs="Times New Roman"/>
          <w:szCs w:val="24"/>
        </w:rPr>
        <w:t xml:space="preserve">the “board … shall adopt a plan, including rules, to control emissions of oxides of nitrogen and volatile organic compounds to provide for attainment and maintenance” of the ozone NAAQS.  But “rules adopted pursuant to this subsection </w:t>
      </w:r>
      <w:r>
        <w:rPr>
          <w:rFonts w:cs="Times New Roman"/>
          <w:i/>
          <w:iCs/>
          <w:szCs w:val="24"/>
        </w:rPr>
        <w:t>shall be limited to sources of emissions within the area of the state where the ozone concentrations exceed ninety-five percent</w:t>
      </w:r>
      <w:r>
        <w:rPr>
          <w:rFonts w:cs="Times New Roman"/>
          <w:szCs w:val="24"/>
        </w:rPr>
        <w:t xml:space="preserve">” of the ozone NAAQS.  </w:t>
      </w:r>
      <w:r>
        <w:rPr>
          <w:rFonts w:cs="Times New Roman"/>
          <w:i/>
          <w:iCs/>
          <w:szCs w:val="24"/>
        </w:rPr>
        <w:t xml:space="preserve">Id.  </w:t>
      </w:r>
      <w:r w:rsidRPr="003C3ADC">
        <w:rPr>
          <w:rFonts w:cs="Times New Roman"/>
          <w:szCs w:val="24"/>
        </w:rPr>
        <w:t xml:space="preserve"> Containing sources that “cause or contribute” is simply </w:t>
      </w:r>
      <w:r w:rsidRPr="003C3ADC">
        <w:rPr>
          <w:rFonts w:cs="Times New Roman"/>
          <w:szCs w:val="24"/>
        </w:rPr>
        <w:lastRenderedPageBreak/>
        <w:t xml:space="preserve">irrelevant to the question of whether Chaves County “exceeds” 95% of the NAAQS.  </w:t>
      </w:r>
      <w:r>
        <w:rPr>
          <w:rFonts w:cs="Times New Roman"/>
          <w:szCs w:val="24"/>
        </w:rPr>
        <w:t xml:space="preserve">For these reasons, the record does not support applying the rule to Chaves or Rio Arriba County. </w:t>
      </w:r>
    </w:p>
    <w:p w14:paraId="1D4708BB" w14:textId="77777777" w:rsidR="00B02F67" w:rsidRPr="00661096" w:rsidRDefault="00B02F67" w:rsidP="00661096">
      <w:pPr>
        <w:pStyle w:val="Heading2"/>
      </w:pPr>
      <w:bookmarkStart w:id="6" w:name="_Toc93563250"/>
      <w:r>
        <w:t>Applicability</w:t>
      </w:r>
      <w:r w:rsidRPr="00CE46C5">
        <w:t>, 20.2.50.</w:t>
      </w:r>
      <w:r>
        <w:t>111</w:t>
      </w:r>
      <w:r w:rsidRPr="00CE46C5">
        <w:t xml:space="preserve"> NMAC</w:t>
      </w:r>
      <w:r>
        <w:t>.</w:t>
      </w:r>
      <w:r w:rsidRPr="0011363F">
        <w:t xml:space="preserve"> The Record Does Not Support NMED’s Insistence that Only an Engineer Is Qualified to Calculate Potential to Emit.</w:t>
      </w:r>
      <w:bookmarkEnd w:id="6"/>
    </w:p>
    <w:p w14:paraId="4926AC6C" w14:textId="77777777" w:rsidR="00B02F67" w:rsidRDefault="00B02F67" w:rsidP="00B02F67">
      <w:pPr>
        <w:spacing w:after="0" w:line="480" w:lineRule="auto"/>
        <w:ind w:firstLine="720"/>
        <w:rPr>
          <w:rFonts w:cs="Times New Roman"/>
          <w:szCs w:val="24"/>
        </w:rPr>
      </w:pPr>
      <w:r>
        <w:t>The applicability of requirements under 20.2.50 NMAC turns largely on a source’s potential to emit, which is “</w:t>
      </w:r>
      <w:r w:rsidRPr="00C43D64">
        <w:t>the maximum capacity of a stationary source to emit an</w:t>
      </w:r>
      <w:r>
        <w:t>y</w:t>
      </w:r>
      <w:r w:rsidRPr="00C43D64">
        <w:t xml:space="preserve"> air </w:t>
      </w:r>
      <w:r>
        <w:t>pollutant</w:t>
      </w:r>
      <w:r w:rsidRPr="00C43D64">
        <w:t xml:space="preserve"> under its physical and operational design</w:t>
      </w:r>
      <w:r>
        <w:t xml:space="preserve">.” 20.2.50.7.MM NMAC. NMED’s current proposal prohibits air quality consultants who are not engineers from conducting this potential to emit analysis.  </w:t>
      </w:r>
    </w:p>
    <w:p w14:paraId="6BB197CE" w14:textId="0ED55988" w:rsidR="00B02F67" w:rsidRDefault="00B02F67" w:rsidP="00B02F67">
      <w:pPr>
        <w:spacing w:after="0" w:line="480" w:lineRule="auto"/>
        <w:ind w:firstLine="720"/>
      </w:pPr>
      <w:r>
        <w:t>To justify this proposal, NMED testified that it</w:t>
      </w:r>
      <w:r w:rsidRPr="0011363F">
        <w:t xml:space="preserve"> wanted a certain level of assurance </w:t>
      </w:r>
      <w:r>
        <w:t>that the evaluation was accurate</w:t>
      </w:r>
      <w:r w:rsidRPr="0011363F">
        <w:t xml:space="preserve">.  </w:t>
      </w:r>
      <w:r w:rsidRPr="003E069C">
        <w:rPr>
          <w:i/>
          <w:iCs/>
        </w:rPr>
        <w:t>See</w:t>
      </w:r>
      <w:r w:rsidRPr="0011363F">
        <w:t xml:space="preserve"> Kuehn testimony, Tr. 4:1157:17-4:1158:6; 4:1161:4-22.  NMED admitted, however, that an engineer is not required for even complex permitting potential to emit calculations</w:t>
      </w:r>
      <w:r>
        <w:t>, which are frequently far more complex than the calculations required under proposed Part 50</w:t>
      </w:r>
      <w:r w:rsidRPr="0011363F">
        <w:t xml:space="preserve">.  Kuehn testimony, Tr. 4:1161:23-4:1162:4.  Industry representatives testified that many professional engineers have no relevant expertise and that air quality consultants or compliance specialists, versed in how the air program determines potential to emit, were likely more qualified.  See Marquez testimony, 5:1474:20-5:1475:25; Davis Testimony, Tr. 4:1183:4-19; 4:1184:4-20.  (IPANM).  Oxy noted that for its 645 facility and 2,745 wells, this </w:t>
      </w:r>
      <w:r>
        <w:t>engineer</w:t>
      </w:r>
      <w:r w:rsidRPr="0011363F">
        <w:t xml:space="preserve"> requirement could add nearly 6,780 engineering hours, at a cost of over $800,000.  </w:t>
      </w:r>
      <w:proofErr w:type="spellStart"/>
      <w:r w:rsidRPr="0011363F">
        <w:t>Holderman</w:t>
      </w:r>
      <w:proofErr w:type="spellEnd"/>
      <w:r w:rsidRPr="0011363F">
        <w:t xml:space="preserve"> testimony, Tr. 4:1195:16-4:1196:7.  </w:t>
      </w:r>
      <w:r>
        <w:t xml:space="preserve">For these reasons, the Board should allow qualified air quality consultants who are not engineers to conduct the PTE assessments required under Part 50. </w:t>
      </w:r>
      <w:r w:rsidRPr="0011363F">
        <w:t xml:space="preserve">  </w:t>
      </w:r>
    </w:p>
    <w:p w14:paraId="17199B3F" w14:textId="77777777" w:rsidR="00B02F67" w:rsidRDefault="00B02F67" w:rsidP="00B02F67">
      <w:pPr>
        <w:spacing w:after="0" w:line="480" w:lineRule="auto"/>
        <w:ind w:firstLine="720"/>
        <w:rPr>
          <w:rFonts w:cs="Times New Roman"/>
          <w:szCs w:val="24"/>
        </w:rPr>
      </w:pPr>
      <w:r>
        <w:lastRenderedPageBreak/>
        <w:t>This requirement would also be more stringent than federal law. PTE calculations for federal standards and permits are routinely done by non-engineering air quality consultants. As such, the Board cannot adopt these standards unless it finds they are more protective. It cannot make such a finding. The record demonstrates that NMED’s engineering requirement creates unnecessary, hamstringing barriers around the air quality professionals who are often most qualified to conduct this work.</w:t>
      </w:r>
    </w:p>
    <w:p w14:paraId="4C657875" w14:textId="6F7383E9" w:rsidR="00B02F67" w:rsidRPr="00661096" w:rsidRDefault="00B02F67" w:rsidP="00661096">
      <w:pPr>
        <w:pStyle w:val="Heading2"/>
      </w:pPr>
      <w:bookmarkStart w:id="7" w:name="_Toc93563251"/>
      <w:r>
        <w:t>General Provisions</w:t>
      </w:r>
      <w:r w:rsidRPr="00CE46C5">
        <w:t>, 20.2.50.</w:t>
      </w:r>
      <w:r>
        <w:t>112</w:t>
      </w:r>
      <w:r w:rsidRPr="00CE46C5">
        <w:t xml:space="preserve"> NMAC</w:t>
      </w:r>
      <w:r>
        <w:t xml:space="preserve">. The Board Should </w:t>
      </w:r>
      <w:r w:rsidR="00D35122">
        <w:t>Memorialize the Department’s Commitment to Engage in a Stakeholder Process to Identify Date and Timestamp Technologies and Provide Industry Two Years to Integrate These Technologies.</w:t>
      </w:r>
      <w:bookmarkEnd w:id="7"/>
    </w:p>
    <w:p w14:paraId="6BCAFFA9" w14:textId="77777777" w:rsidR="00B02F67" w:rsidRDefault="00B02F67" w:rsidP="00B02F67">
      <w:pPr>
        <w:spacing w:after="0" w:line="480" w:lineRule="auto"/>
        <w:ind w:firstLine="720"/>
      </w:pPr>
      <w:r>
        <w:rPr>
          <w:rFonts w:eastAsia="Calibri" w:cstheme="minorHAnsi"/>
        </w:rPr>
        <w:t>Under various</w:t>
      </w:r>
      <w:r w:rsidRPr="006A60BD">
        <w:rPr>
          <w:rFonts w:eastAsia="Calibri" w:cstheme="minorHAnsi"/>
          <w:b/>
          <w:bCs/>
        </w:rPr>
        <w:t xml:space="preserve"> </w:t>
      </w:r>
      <w:r w:rsidRPr="006A60BD">
        <w:rPr>
          <w:rFonts w:eastAsia="Calibri" w:cstheme="minorHAnsi"/>
        </w:rPr>
        <w:t>sections of Part 50</w:t>
      </w:r>
      <w:r>
        <w:rPr>
          <w:rFonts w:eastAsia="Calibri" w:cstheme="minorHAnsi"/>
        </w:rPr>
        <w:t xml:space="preserve">, </w:t>
      </w:r>
      <w:r w:rsidRPr="006A60BD">
        <w:rPr>
          <w:rFonts w:eastAsia="Calibri" w:cstheme="minorHAnsi"/>
        </w:rPr>
        <w:t xml:space="preserve">owners and operators </w:t>
      </w:r>
      <w:r>
        <w:rPr>
          <w:rFonts w:eastAsia="Calibri" w:cstheme="minorHAnsi"/>
        </w:rPr>
        <w:t>must</w:t>
      </w:r>
      <w:r w:rsidRPr="006A60BD">
        <w:rPr>
          <w:rFonts w:eastAsia="Calibri" w:cstheme="minorHAnsi"/>
        </w:rPr>
        <w:t xml:space="preserve"> record a date and time stamp, including a GPS display of the location, </w:t>
      </w:r>
      <w:r>
        <w:rPr>
          <w:rFonts w:eastAsia="Calibri" w:cstheme="minorHAnsi"/>
        </w:rPr>
        <w:t>of</w:t>
      </w:r>
      <w:r w:rsidRPr="006A60BD">
        <w:rPr>
          <w:rFonts w:eastAsia="Calibri" w:cstheme="minorHAnsi"/>
        </w:rPr>
        <w:t xml:space="preserve"> monitoring events. By January 1, 2023, the department has proposed to </w:t>
      </w:r>
      <w:r>
        <w:t xml:space="preserve">finalize and post a list of approved technologies to comply with date and time stamp requirements. Owners and operators would be required to comply with this requirement using an approved technology by April 1, 2023. Prior to this date, owners and operators are required to keep a written or electronic record of the date and time of any affected monitoring events. </w:t>
      </w:r>
    </w:p>
    <w:p w14:paraId="397E9E45" w14:textId="3E74217B" w:rsidR="00721986" w:rsidRDefault="000656C4" w:rsidP="00B02F67">
      <w:pPr>
        <w:spacing w:after="0" w:line="480" w:lineRule="auto"/>
        <w:ind w:firstLine="720"/>
      </w:pPr>
      <w:r>
        <w:t xml:space="preserve">The regulated community has significant concerns about this process and what will ultimately be required, ranging from uncertainty about whether the identified technologies will be compatible with existing systems to anxiety about establishing a robust, expensive system to perform one or fewer monitoring events per year. </w:t>
      </w:r>
      <w:r w:rsidR="008272D9">
        <w:t>Importantly, t</w:t>
      </w:r>
      <w:r w:rsidR="00721986">
        <w:t xml:space="preserve">he Department has committed to identify these technologies through a process that solicits and incorporates the feedback of stakeholders. </w:t>
      </w:r>
      <w:r w:rsidR="00C54B93">
        <w:t xml:space="preserve">Bisbey-Kuehn Testimony, Tr. </w:t>
      </w:r>
      <w:r w:rsidR="00C54B93" w:rsidRPr="00C54B93">
        <w:t>5:1358:24-25 - 1359:1-9</w:t>
      </w:r>
      <w:r w:rsidR="00C54B93">
        <w:t xml:space="preserve">. </w:t>
      </w:r>
      <w:r w:rsidR="008272D9">
        <w:t xml:space="preserve">This stakeholder process </w:t>
      </w:r>
      <w:r w:rsidR="004F51D4">
        <w:t xml:space="preserve">is essential to ensuring that the identified technologies meet the stated goals without imposing </w:t>
      </w:r>
      <w:r w:rsidR="004F51D4">
        <w:lastRenderedPageBreak/>
        <w:t>undue burden on regulated entities. Despite the importance of the stakeholder process and the Department’s commitment, 20.2.50.112</w:t>
      </w:r>
      <w:r w:rsidR="00DD6C4A">
        <w:t>.A(8)(b)</w:t>
      </w:r>
      <w:r w:rsidR="004F51D4">
        <w:t xml:space="preserve"> NMAC</w:t>
      </w:r>
      <w:r w:rsidR="003163C1">
        <w:t xml:space="preserve"> simply states that the “</w:t>
      </w:r>
      <w:r w:rsidR="003163C1">
        <w:rPr>
          <w:rFonts w:eastAsia="Calibri" w:cstheme="minorHAnsi"/>
        </w:rPr>
        <w:t xml:space="preserve">department shall </w:t>
      </w:r>
      <w:r w:rsidR="003163C1">
        <w:t xml:space="preserve">finalize a list of approved technologies” </w:t>
      </w:r>
      <w:r w:rsidR="00DD6C4A">
        <w:t xml:space="preserve">without any mention of </w:t>
      </w:r>
      <w:r w:rsidR="00CF0E96">
        <w:t>soliciting or incorporating</w:t>
      </w:r>
      <w:r w:rsidR="003163C1">
        <w:t xml:space="preserve"> stakeholder </w:t>
      </w:r>
      <w:r w:rsidR="00CF0E96">
        <w:t>input</w:t>
      </w:r>
      <w:r w:rsidR="003163C1">
        <w:t xml:space="preserve">. </w:t>
      </w:r>
      <w:r w:rsidR="00DD6C4A">
        <w:t xml:space="preserve">We believe this is an oversight. </w:t>
      </w:r>
      <w:r w:rsidR="003163C1">
        <w:t xml:space="preserve">NMOGA asks the Board to </w:t>
      </w:r>
      <w:r w:rsidR="00197C2F">
        <w:t xml:space="preserve">memorialize this commitment to engage with stakeholders in the statement of reasons and/or regulatory language to ensure that the identified technologies </w:t>
      </w:r>
      <w:r>
        <w:t xml:space="preserve">reflect the input of regulated entities. </w:t>
      </w:r>
    </w:p>
    <w:p w14:paraId="656DFD96" w14:textId="65357E83" w:rsidR="00B02F67" w:rsidRDefault="008758F8" w:rsidP="00B02F67">
      <w:pPr>
        <w:spacing w:after="0" w:line="480" w:lineRule="auto"/>
        <w:ind w:firstLine="720"/>
      </w:pPr>
      <w:r>
        <w:t xml:space="preserve">In addition, </w:t>
      </w:r>
      <w:r w:rsidR="00B02F67">
        <w:t xml:space="preserve">the Board should grant industry at least two years to implement the approved technologies. </w:t>
      </w:r>
      <w:r w:rsidR="005B62DA">
        <w:t xml:space="preserve">After extensive testimony </w:t>
      </w:r>
      <w:r w:rsidR="00BE714E">
        <w:t>on this issue</w:t>
      </w:r>
      <w:r w:rsidR="005B62DA">
        <w:t xml:space="preserve">, Ms. Bisbey-Kuehn testified that the Department was amenable to </w:t>
      </w:r>
      <w:r w:rsidR="00BE714E">
        <w:t>extending</w:t>
      </w:r>
      <w:r w:rsidR="005B62DA">
        <w:t xml:space="preserve"> the timeline consistent with industry’s request. Bisbey </w:t>
      </w:r>
      <w:r w:rsidR="00D35122">
        <w:t>Kuehn</w:t>
      </w:r>
      <w:r w:rsidR="005B62DA">
        <w:t xml:space="preserve"> Testimony, Tr. 5:1582:14-17. </w:t>
      </w:r>
      <w:r w:rsidR="00BE714E">
        <w:t xml:space="preserve">The current Department proposal does not reflect </w:t>
      </w:r>
      <w:r w:rsidR="00EA32A6">
        <w:t xml:space="preserve">that </w:t>
      </w:r>
      <w:r w:rsidR="00BE714E">
        <w:t xml:space="preserve">timeline, but we believe this is an oversight. </w:t>
      </w:r>
      <w:r w:rsidR="00B02F67">
        <w:t xml:space="preserve">As Ms. Kuehn and others testified, database development projects often take years.  Kuehn testimony, </w:t>
      </w:r>
      <w:r w:rsidR="0006617C">
        <w:t>Tr.</w:t>
      </w:r>
      <w:r w:rsidR="00B02F67">
        <w:t xml:space="preserve"> 5:1370:3-8.  The record indicates </w:t>
      </w:r>
      <w:r w:rsidR="009F3DAC">
        <w:t>that technologies</w:t>
      </w:r>
      <w:r w:rsidR="00B02F67">
        <w:t xml:space="preserve"> cannot be integrated into industry’s database systems </w:t>
      </w:r>
      <w:r w:rsidR="005F0165">
        <w:t>quickly</w:t>
      </w:r>
      <w:r w:rsidR="00B02F67">
        <w:t xml:space="preserve"> and that additional time is needed.  Smitherman testimony, Tr. 5:1427:21-5:1428:25; Brown testimony, Tr. 5:1437:19-5:1439:11. The Board should give industry at least two years to implement these technologies.</w:t>
      </w:r>
    </w:p>
    <w:p w14:paraId="47A63DA1" w14:textId="77777777" w:rsidR="00B02F67" w:rsidRDefault="00B02F67" w:rsidP="00B02F67">
      <w:pPr>
        <w:spacing w:after="0" w:line="480" w:lineRule="auto"/>
        <w:ind w:firstLine="720"/>
        <w:rPr>
          <w:rFonts w:cs="Times New Roman"/>
          <w:szCs w:val="24"/>
        </w:rPr>
      </w:pPr>
      <w:r>
        <w:rPr>
          <w:rFonts w:cs="Times New Roman"/>
          <w:szCs w:val="24"/>
        </w:rPr>
        <w:t xml:space="preserve">Beyond this remaining concern, the Department has made several crucial adjustments to 20.2.50.112 NMAC, and NMOGA urges the Board to adopt these revisions. </w:t>
      </w:r>
    </w:p>
    <w:p w14:paraId="4F973708" w14:textId="77777777" w:rsidR="00B02F67" w:rsidRPr="00F81F5A" w:rsidRDefault="00B02F67" w:rsidP="00B02F67">
      <w:pPr>
        <w:spacing w:after="0" w:line="480" w:lineRule="auto"/>
        <w:ind w:firstLine="720"/>
        <w:rPr>
          <w:rFonts w:cs="Times New Roman"/>
          <w:szCs w:val="24"/>
        </w:rPr>
      </w:pPr>
      <w:r w:rsidRPr="00F81F5A">
        <w:rPr>
          <w:rFonts w:cs="Times New Roman"/>
          <w:szCs w:val="24"/>
        </w:rPr>
        <w:t>The Department has modified the requirement to comply with manufacturer specifications to allow owners and operators to rely on “</w:t>
      </w:r>
      <w:r w:rsidRPr="00F81F5A">
        <w:rPr>
          <w:rFonts w:eastAsia="Calibri"/>
        </w:rPr>
        <w:t xml:space="preserve">an alternative set of specifications, maintenance practices and schedules sufficient to operate and maintain such sources in good working order, which have been approved by qualified maintenance personnel based on engineering principles and field experience.” 20.2.50.112.A.1 NMAC; </w:t>
      </w:r>
      <w:r>
        <w:t xml:space="preserve">Kuehn testimony, Tr. </w:t>
      </w:r>
      <w:r>
        <w:lastRenderedPageBreak/>
        <w:t xml:space="preserve">5:1356:6-16. This adjustment was made in response to voluminous testimony, which confirmed that reliance on alternative specifications provide needed flexibility without negatively impacting environmental outcomes. </w:t>
      </w:r>
      <w:r w:rsidRPr="00F81F5A">
        <w:rPr>
          <w:i/>
          <w:iCs/>
        </w:rPr>
        <w:t xml:space="preserve">See, e.g., </w:t>
      </w:r>
      <w:r w:rsidRPr="00F81F5A">
        <w:rPr>
          <w:rFonts w:cs="Times New Roman"/>
          <w:szCs w:val="24"/>
        </w:rPr>
        <w:t xml:space="preserve">NMOGA Exhibit A1, 15:13-25.  </w:t>
      </w:r>
    </w:p>
    <w:p w14:paraId="3094AAD2" w14:textId="77777777" w:rsidR="00F16DEE" w:rsidRDefault="00B02F67" w:rsidP="00B02F67">
      <w:pPr>
        <w:spacing w:after="0" w:line="480" w:lineRule="auto"/>
        <w:ind w:firstLine="720"/>
      </w:pPr>
      <w:r>
        <w:rPr>
          <w:rFonts w:cs="Times New Roman"/>
          <w:szCs w:val="24"/>
        </w:rPr>
        <w:t xml:space="preserve">The Department has modified the annual reporting requirement under </w:t>
      </w:r>
      <w:r>
        <w:t>20.2.50.112.D NMAC</w:t>
      </w:r>
      <w:r>
        <w:rPr>
          <w:rFonts w:cs="Times New Roman"/>
          <w:szCs w:val="24"/>
        </w:rPr>
        <w:t xml:space="preserve"> to address credible concerns prompted by prior iterations. </w:t>
      </w:r>
      <w:r w:rsidRPr="006A60BD">
        <w:rPr>
          <w:rFonts w:cs="Times New Roman"/>
          <w:szCs w:val="24"/>
        </w:rPr>
        <w:t xml:space="preserve">Owners and operators </w:t>
      </w:r>
      <w:r>
        <w:rPr>
          <w:rFonts w:cs="Times New Roman"/>
          <w:szCs w:val="24"/>
        </w:rPr>
        <w:t>would be</w:t>
      </w:r>
      <w:r w:rsidRPr="006A60BD">
        <w:rPr>
          <w:rFonts w:cs="Times New Roman"/>
          <w:szCs w:val="24"/>
        </w:rPr>
        <w:t xml:space="preserve"> required to annually </w:t>
      </w:r>
      <w:r w:rsidRPr="006D046A">
        <w:t>generate a Compliance Database Report (CDR) on all assets under its control that are subject to the CDR requirements of Part</w:t>
      </w:r>
      <w:r>
        <w:t xml:space="preserve"> 50</w:t>
      </w:r>
      <w:r w:rsidRPr="006D046A">
        <w:t xml:space="preserve"> at the time the CDR is prepared and keep </w:t>
      </w:r>
      <w:r>
        <w:t>the</w:t>
      </w:r>
      <w:r w:rsidRPr="006D046A">
        <w:t xml:space="preserve"> report on file for five years</w:t>
      </w:r>
      <w:r>
        <w:t xml:space="preserve">. 20.2.50.112.D NMAC. Previously, the reporting language implied that an annual compliance certification requiring significant review, man hours and resources would be required, which various witnesses testified would be overly burdensome. Smitherman testimony, Tr. 5:1429:14-5:1430:14; Cooper testimony, Tr. 5:1492:7-5:1493:3. The department’s most recent proposal is responsive to these credible concerns and provides an adequate metric of compliance assurance. </w:t>
      </w:r>
    </w:p>
    <w:p w14:paraId="77271D2C" w14:textId="1A9DBE27" w:rsidR="00B02F67" w:rsidRPr="005A200C" w:rsidRDefault="00B02F67" w:rsidP="00B02F67">
      <w:pPr>
        <w:spacing w:after="0" w:line="480" w:lineRule="auto"/>
        <w:ind w:firstLine="720"/>
      </w:pPr>
      <w:r>
        <w:t xml:space="preserve">While </w:t>
      </w:r>
      <w:r w:rsidRPr="00AB5B54">
        <w:t xml:space="preserve">Wild Earth Guardians and others </w:t>
      </w:r>
      <w:r>
        <w:t>testified</w:t>
      </w:r>
      <w:r w:rsidRPr="00AB5B54">
        <w:t xml:space="preserve"> that additional “deviation” reporting is necessary, </w:t>
      </w:r>
      <w:r>
        <w:t>these witnesses failed to demonstrate that the benefit of this reporting would outweigh the burden it would</w:t>
      </w:r>
      <w:r w:rsidRPr="00AB5B54">
        <w:t xml:space="preserve"> impose on both NMED and industry.  Copeland testimony, Tr. 5:1456:24-5:1457:23.</w:t>
      </w:r>
      <w:r>
        <w:t xml:space="preserve"> Wild Earth Guardians also did not address the Department’s concerns that it could not accommodate substantial additional reporting.</w:t>
      </w:r>
      <w:r w:rsidRPr="00544FDD">
        <w:t xml:space="preserve"> </w:t>
      </w:r>
      <w:r>
        <w:t xml:space="preserve">As Mr. Baca testified, this proposal would “overwhelm” the Department,” “impose additional burdens that are without any public health benefits,” and take the Department and industry away from the more important work of “addressing issues with compliance that have to do with emissions to the atmosphere.” Tr. </w:t>
      </w:r>
      <w:r w:rsidRPr="0006547F">
        <w:t>5:</w:t>
      </w:r>
      <w:r>
        <w:t xml:space="preserve">1592:15; </w:t>
      </w:r>
      <w:r w:rsidRPr="0006547F">
        <w:t>1593:8-13</w:t>
      </w:r>
      <w:r>
        <w:t>.</w:t>
      </w:r>
    </w:p>
    <w:p w14:paraId="32971713" w14:textId="77777777" w:rsidR="00B02F67" w:rsidRPr="00661096" w:rsidRDefault="00B02F67" w:rsidP="00661096">
      <w:pPr>
        <w:pStyle w:val="Heading2"/>
      </w:pPr>
      <w:bookmarkStart w:id="8" w:name="_Toc93563252"/>
      <w:r>
        <w:lastRenderedPageBreak/>
        <w:t xml:space="preserve">Engines and Turbines, 20.2.50.113 NMAC. </w:t>
      </w:r>
      <w:r w:rsidRPr="007C73D3">
        <w:t>The Board Should Adopt the Department’s Proposal Because It Requires Reasonable and Aggressive Emissions Reductions.</w:t>
      </w:r>
      <w:bookmarkEnd w:id="8"/>
      <w:r w:rsidRPr="007C73D3">
        <w:t xml:space="preserve"> </w:t>
      </w:r>
    </w:p>
    <w:p w14:paraId="4A234283" w14:textId="402EDF41" w:rsidR="00F93617" w:rsidRDefault="00B02F67" w:rsidP="00B02F67">
      <w:pPr>
        <w:spacing w:after="0" w:line="480" w:lineRule="auto"/>
        <w:ind w:firstLine="720"/>
      </w:pPr>
      <w:r>
        <w:t xml:space="preserve">Industry stakeholders engaged extensively with the Department prior to and during the hearing to reach agreement on appropriate, aggressive standards that both existing and new engines and turbines could meet.  </w:t>
      </w:r>
      <w:proofErr w:type="gramStart"/>
      <w:r>
        <w:t>The final result</w:t>
      </w:r>
      <w:proofErr w:type="gramEnd"/>
      <w:r>
        <w:t xml:space="preserve">, encapsulated in the Department’s September 16 and December 16 redlines, should not be disturbed.  As Mr. Lisowski testified, there is no “blanket” technology that can meet all needs.  Lisowski testimony, Tr. </w:t>
      </w:r>
      <w:r w:rsidR="007B0E55">
        <w:t>6:</w:t>
      </w:r>
      <w:r w:rsidR="00B178BF">
        <w:t>1726:</w:t>
      </w:r>
      <w:r w:rsidR="00F1100E">
        <w:t>25-6:1727:</w:t>
      </w:r>
      <w:r w:rsidR="00620B44">
        <w:t>7</w:t>
      </w:r>
      <w:r>
        <w:t xml:space="preserve">.  Many of the low emitting combustor (LEC) controls are already implemented on existing turbines or else they may be small bore engines where these controls are not practical.  Lisowski testimony, Tr. 6:1725:17-6:1727:7.  </w:t>
      </w:r>
      <w:proofErr w:type="gramStart"/>
      <w:r>
        <w:t>Non-selective</w:t>
      </w:r>
      <w:proofErr w:type="gramEnd"/>
      <w:r>
        <w:t xml:space="preserve"> catalytic reduction (NSCR), used on many rich burn engines, is already in place and limited in further reduction by drift issues.  Lisowski testimony, Tr. 6:1729:13-6:1730:8.  Selective catalytic reduction (SCR) is not cost-effective or workable in the oil field as it is too expensive and requires full-time staffing, which is not available at most facilities.  Lisowski testimony, Tr. 6:1730:9-6:1731:3.  Based upon this testimony and supporting testimony from Mr. Dutton, Mr. </w:t>
      </w:r>
      <w:proofErr w:type="gramStart"/>
      <w:r>
        <w:t>Sheldon</w:t>
      </w:r>
      <w:proofErr w:type="gramEnd"/>
      <w:r>
        <w:t xml:space="preserve"> and Ms. Witherspoon, NMED, engine and turbine manufacturers, and industry reached an agreement on what is practical for New Mexico.  Kuehn testimony, Tr. 6:1682:10-13.  Mr. Lisowski also explained why the existence of the Alternative Compliance Plan did not mean that lower limits, such as the 1.2 g NOX/bhp-</w:t>
      </w:r>
      <w:proofErr w:type="spellStart"/>
      <w:r>
        <w:t>hr</w:t>
      </w:r>
      <w:proofErr w:type="spellEnd"/>
      <w:r>
        <w:t xml:space="preserve"> </w:t>
      </w:r>
      <w:r w:rsidR="005D0E36">
        <w:t xml:space="preserve">standard </w:t>
      </w:r>
      <w:r>
        <w:t>advocated by the environmental groups, could not feasibly be met.  Lisowski testimony, Tr. 9:2993:13-18; 9:2999:25-9:3001:11.  And Ms. Kuehn agreed that the original, more stringent, NMED proposal had not recognized the off ramps and exemptions found in the other regulatory programs or the differing field and gas conditions in New Mexico.  Kuehn testimony, Tr. 6:1701:23-6:1702:5</w:t>
      </w:r>
      <w:r w:rsidR="00A56E80">
        <w:t xml:space="preserve">. </w:t>
      </w:r>
    </w:p>
    <w:p w14:paraId="695CF191" w14:textId="18B8B8D1" w:rsidR="00B02F67" w:rsidRDefault="00B02F67" w:rsidP="00B02F67">
      <w:pPr>
        <w:spacing w:after="0" w:line="480" w:lineRule="auto"/>
        <w:ind w:firstLine="720"/>
      </w:pPr>
      <w:r>
        <w:lastRenderedPageBreak/>
        <w:t xml:space="preserve">NMOGA also urges the Board to support the </w:t>
      </w:r>
      <w:r w:rsidR="00F93617">
        <w:t>D</w:t>
      </w:r>
      <w:r>
        <w:t xml:space="preserve">epartment’s decision to exclude relocations and like-kind exchanges from the definition of “construction.”  Kuehn testimony, Tr. 6:1686:1-6.  This decision facilitates emissions reductions in the oil field by allowing engines to be “right sized” to the need, preventing them from running below optimal conditions (which would result in higher actual emissions), and allowing for more comprehensive maintenance in the shop as opposed to </w:t>
      </w:r>
      <w:r w:rsidR="00F93617">
        <w:t xml:space="preserve">the </w:t>
      </w:r>
      <w:r>
        <w:t xml:space="preserve">field, which helps to keep the overall engine and turbine fleet in better repair.  Initial concerns from the National Park Service that old turbines would be “dumped” on New Mexico were ameliorated once they understood that all existing units, including relocated ones, would be subject to the existing source emissions limits.  Devore testimony, tr. </w:t>
      </w:r>
      <w:r w:rsidR="005C77CA">
        <w:t>8:</w:t>
      </w:r>
      <w:r w:rsidR="00C713BA">
        <w:t>2401:</w:t>
      </w:r>
      <w:r w:rsidR="00516DF9">
        <w:t>2-8:2402:</w:t>
      </w:r>
      <w:r w:rsidR="00235BDD">
        <w:t>2</w:t>
      </w:r>
      <w:r>
        <w:t xml:space="preserve">.  Similarly, the Board should support CO </w:t>
      </w:r>
      <w:r w:rsidR="00383F6E">
        <w:t xml:space="preserve">testing </w:t>
      </w:r>
      <w:r>
        <w:t>as a surrogate for VOC</w:t>
      </w:r>
      <w:r w:rsidR="00383F6E">
        <w:t xml:space="preserve"> testing</w:t>
      </w:r>
      <w:r>
        <w:t xml:space="preserve">, </w:t>
      </w:r>
      <w:r w:rsidR="00383F6E">
        <w:t>because it</w:t>
      </w:r>
      <w:r>
        <w:t xml:space="preserve"> is cheaper and will enable operators to tune their engines more efficiently.  </w:t>
      </w:r>
      <w:r w:rsidR="005B5061">
        <w:t>Lisowski testimony, tr. 6:</w:t>
      </w:r>
      <w:r w:rsidR="00187021">
        <w:t>1734:2-8</w:t>
      </w:r>
      <w:r>
        <w:t>.</w:t>
      </w:r>
    </w:p>
    <w:p w14:paraId="2DAC3453" w14:textId="77777777" w:rsidR="00B02F67" w:rsidRDefault="00B02F67" w:rsidP="00B02F67">
      <w:pPr>
        <w:spacing w:after="0" w:line="480" w:lineRule="auto"/>
        <w:ind w:firstLine="720"/>
      </w:pPr>
      <w:r w:rsidRPr="00C85016">
        <w:t>The National Park Service in its pre</w:t>
      </w:r>
      <w:r>
        <w:t>-</w:t>
      </w:r>
      <w:r w:rsidRPr="00C85016">
        <w:t>filed testimony requested that emissions limits be established for smaller engines.  Multiple experts testified that the proposed limits were not achievable in a cost-effective ma</w:t>
      </w:r>
      <w:r>
        <w:t>nn</w:t>
      </w:r>
      <w:r w:rsidRPr="00C85016">
        <w:t xml:space="preserve">er and urged that they </w:t>
      </w:r>
      <w:proofErr w:type="gramStart"/>
      <w:r w:rsidRPr="00C85016">
        <w:t>not be</w:t>
      </w:r>
      <w:proofErr w:type="gramEnd"/>
      <w:r w:rsidRPr="00C85016">
        <w:t xml:space="preserve"> adopted.  </w:t>
      </w:r>
      <w:r w:rsidRPr="00C85016">
        <w:rPr>
          <w:i/>
          <w:iCs/>
        </w:rPr>
        <w:t>See</w:t>
      </w:r>
      <w:r w:rsidRPr="00C85016">
        <w:t xml:space="preserve"> Trent, Tr. 6:1814:9-16; Sheldon and Dutton, Tr. 6:1757:1-6:1760:13, Lisowski Tr. 9:2990:20-9:2991:20.  Based on this testimony, the National Park Service withdrew its request to regulate the smaller engines.  Devore testimony, </w:t>
      </w:r>
      <w:r>
        <w:t xml:space="preserve">Tr. </w:t>
      </w:r>
      <w:r w:rsidRPr="00C85016">
        <w:t>8:2399:24-8:2400:9.</w:t>
      </w:r>
    </w:p>
    <w:p w14:paraId="4260162A" w14:textId="75253F8D" w:rsidR="00B02F67" w:rsidRDefault="00B02F67" w:rsidP="00B02F67">
      <w:pPr>
        <w:spacing w:after="0" w:line="480" w:lineRule="auto"/>
        <w:ind w:firstLine="720"/>
      </w:pPr>
      <w:r>
        <w:t>The Department’s initial proposal applied 20.2.50.113 NMAC to portable engines, which include nonroad engines. NMED has since revised its proposal so that proposed 20.2.50.113 NMAC does not apply to nonroad engines. The Board should follow the Department’s course in excluding nonroad engines from the rule because emissions standards for such engines are subject to exclusive federal control.</w:t>
      </w:r>
      <w:r w:rsidRPr="000E42AE">
        <w:t xml:space="preserve"> </w:t>
      </w:r>
      <w:r w:rsidRPr="00DD7BA6">
        <w:t>42 U.S.C. § 7543(e</w:t>
      </w:r>
      <w:r>
        <w:t xml:space="preserve">); </w:t>
      </w:r>
      <w:r w:rsidRPr="00991B5D">
        <w:rPr>
          <w:i/>
        </w:rPr>
        <w:t xml:space="preserve">Engine Mfrs. </w:t>
      </w:r>
      <w:proofErr w:type="spellStart"/>
      <w:r w:rsidRPr="00991B5D">
        <w:rPr>
          <w:i/>
        </w:rPr>
        <w:t>Ass'n</w:t>
      </w:r>
      <w:proofErr w:type="spellEnd"/>
      <w:r w:rsidRPr="00991B5D">
        <w:rPr>
          <w:i/>
        </w:rPr>
        <w:t xml:space="preserve"> v. U.S. E.P.A.</w:t>
      </w:r>
      <w:r w:rsidRPr="00991B5D">
        <w:t xml:space="preserve">, 88 </w:t>
      </w:r>
      <w:r w:rsidRPr="00991B5D">
        <w:lastRenderedPageBreak/>
        <w:t>F.3d 1075, 108</w:t>
      </w:r>
      <w:r>
        <w:t xml:space="preserve">7-88 </w:t>
      </w:r>
      <w:r w:rsidRPr="00991B5D">
        <w:t>(D.C. Cir. 1996)</w:t>
      </w:r>
      <w:r>
        <w:t xml:space="preserve"> (“</w:t>
      </w:r>
      <w:r w:rsidRPr="00991B5D">
        <w:t>states must be preempted from adopting any regulation for which California could receive authorization</w:t>
      </w:r>
      <w:r>
        <w:t xml:space="preserve">.”); </w:t>
      </w:r>
      <w:r w:rsidRPr="00537CCB">
        <w:rPr>
          <w:i/>
        </w:rPr>
        <w:t xml:space="preserve">Pac. Merch. Shipping </w:t>
      </w:r>
      <w:proofErr w:type="spellStart"/>
      <w:r w:rsidRPr="00537CCB">
        <w:rPr>
          <w:i/>
        </w:rPr>
        <w:t>Ass'n</w:t>
      </w:r>
      <w:proofErr w:type="spellEnd"/>
      <w:r w:rsidRPr="00537CCB">
        <w:rPr>
          <w:i/>
        </w:rPr>
        <w:t xml:space="preserve"> v. </w:t>
      </w:r>
      <w:proofErr w:type="spellStart"/>
      <w:r w:rsidRPr="00537CCB">
        <w:rPr>
          <w:i/>
        </w:rPr>
        <w:t>Goldstene</w:t>
      </w:r>
      <w:proofErr w:type="spellEnd"/>
      <w:r w:rsidRPr="00D60F8F">
        <w:t>, 517 F.3d 1108, 1113 (9th Cir. 2008)</w:t>
      </w:r>
      <w:r>
        <w:t xml:space="preserve"> (“</w:t>
      </w:r>
      <w:r w:rsidRPr="00D60F8F">
        <w:t>we join the D.C. Circuit and hold that the implied preemption of § 209(e)(2) applies</w:t>
      </w:r>
      <w:r>
        <w:t xml:space="preserve"> to ‘</w:t>
      </w:r>
      <w:r w:rsidRPr="00D60F8F">
        <w:t>a</w:t>
      </w:r>
      <w:r>
        <w:t>ny nonroad vehicles or engines,’</w:t>
      </w:r>
      <w:r w:rsidRPr="00D60F8F">
        <w:t xml:space="preserve"> including new and non-new sources.</w:t>
      </w:r>
      <w:r>
        <w:t xml:space="preserve">”). </w:t>
      </w:r>
    </w:p>
    <w:p w14:paraId="53F08962" w14:textId="2972E9D6" w:rsidR="0006679E" w:rsidRPr="00661096" w:rsidRDefault="003758B0" w:rsidP="00661096">
      <w:pPr>
        <w:pStyle w:val="Heading2"/>
      </w:pPr>
      <w:bookmarkStart w:id="9" w:name="_Toc93563253"/>
      <w:r>
        <w:t>Control Devices</w:t>
      </w:r>
      <w:r w:rsidR="0006679E" w:rsidRPr="00CE46C5">
        <w:t>, 20.2.50.11</w:t>
      </w:r>
      <w:r>
        <w:t>5</w:t>
      </w:r>
      <w:r w:rsidR="0006679E" w:rsidRPr="00CE46C5">
        <w:t xml:space="preserve"> NMAC</w:t>
      </w:r>
      <w:r w:rsidR="0006679E">
        <w:t xml:space="preserve">. </w:t>
      </w:r>
      <w:r w:rsidR="00572A11">
        <w:t xml:space="preserve">The Board Should Adopt the Department’s Control Devices Standard, </w:t>
      </w:r>
      <w:proofErr w:type="gramStart"/>
      <w:r w:rsidR="00572A11">
        <w:t>Except</w:t>
      </w:r>
      <w:proofErr w:type="gramEnd"/>
      <w:r w:rsidR="00572A11">
        <w:t xml:space="preserve"> that The Redundant VRU Requirement Is Not Supported By the Record and Should be Rejected.</w:t>
      </w:r>
      <w:bookmarkEnd w:id="9"/>
    </w:p>
    <w:p w14:paraId="66049398" w14:textId="77777777" w:rsidR="004E4932" w:rsidRDefault="00572A11" w:rsidP="00B02F67">
      <w:pPr>
        <w:spacing w:after="0" w:line="480" w:lineRule="auto"/>
        <w:ind w:firstLine="720"/>
        <w:rPr>
          <w:rFonts w:eastAsia="Calibri"/>
        </w:rPr>
      </w:pPr>
      <w:r>
        <w:t xml:space="preserve">Under </w:t>
      </w:r>
      <w:r w:rsidR="0030457E">
        <w:t xml:space="preserve">proposed </w:t>
      </w:r>
      <w:r>
        <w:t>20.2.50.115.</w:t>
      </w:r>
      <w:r w:rsidR="00351D8B">
        <w:t xml:space="preserve">E(1)(b), </w:t>
      </w:r>
      <w:r w:rsidR="0030457E">
        <w:t>owners and operators must “</w:t>
      </w:r>
      <w:r w:rsidR="0030457E" w:rsidRPr="00C43D64">
        <w:rPr>
          <w:rFonts w:eastAsia="Calibri"/>
        </w:rPr>
        <w:t>control VOC emissions during startup, shutdown, maintenance, or other VRU downtime with a backup control device (</w:t>
      </w:r>
      <w:proofErr w:type="gramStart"/>
      <w:r w:rsidR="0030457E" w:rsidRPr="00C43D64">
        <w:rPr>
          <w:rFonts w:eastAsia="Calibri"/>
        </w:rPr>
        <w:t>e.g.</w:t>
      </w:r>
      <w:proofErr w:type="gramEnd"/>
      <w:r w:rsidR="0030457E" w:rsidRPr="00C43D64">
        <w:rPr>
          <w:rFonts w:eastAsia="Calibri"/>
        </w:rPr>
        <w:t xml:space="preserve"> flare, ECD, TO) or redundant VRU</w:t>
      </w:r>
      <w:r w:rsidR="0030457E">
        <w:rPr>
          <w:rFonts w:eastAsia="Calibri"/>
        </w:rPr>
        <w:t xml:space="preserve"> during the period of VRU downtime.” </w:t>
      </w:r>
      <w:r w:rsidR="006F1672">
        <w:rPr>
          <w:rFonts w:eastAsia="Calibri"/>
        </w:rPr>
        <w:t>To the best of NMOGA’s understanding, t</w:t>
      </w:r>
      <w:r w:rsidR="00011463">
        <w:rPr>
          <w:rFonts w:eastAsia="Calibri"/>
        </w:rPr>
        <w:t>he Department has not</w:t>
      </w:r>
      <w:r w:rsidR="006F1672">
        <w:rPr>
          <w:rFonts w:eastAsia="Calibri"/>
        </w:rPr>
        <w:t xml:space="preserve"> </w:t>
      </w:r>
      <w:r w:rsidR="00011463">
        <w:rPr>
          <w:rFonts w:eastAsia="Calibri"/>
        </w:rPr>
        <w:t>estimate</w:t>
      </w:r>
      <w:r w:rsidR="006F1672">
        <w:rPr>
          <w:rFonts w:eastAsia="Calibri"/>
        </w:rPr>
        <w:t>d the costs or emissions reductions associated with</w:t>
      </w:r>
      <w:r w:rsidR="00011463">
        <w:rPr>
          <w:rFonts w:eastAsia="Calibri"/>
        </w:rPr>
        <w:t xml:space="preserve"> a redundant control device. Because these control devices are required to be used only during “startup, shutdown, maintenance, or other VRU downtime” and such events are inherently infrequent, </w:t>
      </w:r>
      <w:r w:rsidR="004E4932">
        <w:rPr>
          <w:rFonts w:eastAsia="Calibri"/>
        </w:rPr>
        <w:t xml:space="preserve">the emissions reductions to be gained from redundant controls are slight, </w:t>
      </w:r>
      <w:r w:rsidR="00A33DC1">
        <w:rPr>
          <w:rFonts w:eastAsia="Calibri"/>
        </w:rPr>
        <w:t xml:space="preserve">while the cost of acquiring, installing, and maintaining these redundant controls are relatively </w:t>
      </w:r>
      <w:proofErr w:type="gramStart"/>
      <w:r w:rsidR="00A33DC1">
        <w:rPr>
          <w:rFonts w:eastAsia="Calibri"/>
        </w:rPr>
        <w:t>similar to</w:t>
      </w:r>
      <w:proofErr w:type="gramEnd"/>
      <w:r w:rsidR="00A33DC1">
        <w:rPr>
          <w:rFonts w:eastAsia="Calibri"/>
        </w:rPr>
        <w:t xml:space="preserve"> the costs associated with acquiring, installing, and maintaining the primary control device. Consequen</w:t>
      </w:r>
      <w:r w:rsidR="004E4932">
        <w:rPr>
          <w:rFonts w:eastAsia="Calibri"/>
        </w:rPr>
        <w:t>tly,</w:t>
      </w:r>
      <w:r w:rsidR="00011463">
        <w:rPr>
          <w:rFonts w:eastAsia="Calibri"/>
        </w:rPr>
        <w:t xml:space="preserve"> </w:t>
      </w:r>
      <w:r w:rsidR="00427284">
        <w:rPr>
          <w:rFonts w:eastAsia="Calibri"/>
        </w:rPr>
        <w:t xml:space="preserve">the cost-per-ton reduced of </w:t>
      </w:r>
      <w:r w:rsidR="004E4932">
        <w:rPr>
          <w:rFonts w:eastAsia="Calibri"/>
        </w:rPr>
        <w:t>the redundant control</w:t>
      </w:r>
      <w:r w:rsidR="00427284">
        <w:rPr>
          <w:rFonts w:eastAsia="Calibri"/>
        </w:rPr>
        <w:t xml:space="preserve"> requirement</w:t>
      </w:r>
      <w:r w:rsidR="004E4932">
        <w:rPr>
          <w:rFonts w:eastAsia="Calibri"/>
        </w:rPr>
        <w:t xml:space="preserve"> is </w:t>
      </w:r>
      <w:r w:rsidR="00427284">
        <w:rPr>
          <w:rFonts w:eastAsia="Calibri"/>
        </w:rPr>
        <w:t xml:space="preserve">excessive. </w:t>
      </w:r>
    </w:p>
    <w:p w14:paraId="2C4176DC" w14:textId="7314FF40" w:rsidR="0006679E" w:rsidRDefault="004E4932" w:rsidP="00B02F67">
      <w:pPr>
        <w:spacing w:after="0" w:line="480" w:lineRule="auto"/>
        <w:ind w:firstLine="720"/>
        <w:rPr>
          <w:rFonts w:eastAsia="Calibri"/>
        </w:rPr>
      </w:pPr>
      <w:r>
        <w:rPr>
          <w:rFonts w:eastAsia="Calibri"/>
        </w:rPr>
        <w:t>T</w:t>
      </w:r>
      <w:r w:rsidR="00427284">
        <w:rPr>
          <w:rFonts w:eastAsia="Calibri"/>
        </w:rPr>
        <w:t xml:space="preserve">he redundant control requirement </w:t>
      </w:r>
      <w:r>
        <w:rPr>
          <w:rFonts w:eastAsia="Calibri"/>
        </w:rPr>
        <w:t xml:space="preserve">also </w:t>
      </w:r>
      <w:r w:rsidR="00427284">
        <w:rPr>
          <w:rFonts w:eastAsia="Calibri"/>
        </w:rPr>
        <w:t>has no federal corollary. As such, the Board must find that the</w:t>
      </w:r>
      <w:r w:rsidR="00DB46B6">
        <w:rPr>
          <w:rFonts w:eastAsia="Calibri"/>
        </w:rPr>
        <w:t xml:space="preserve">se requirements are </w:t>
      </w:r>
      <w:r w:rsidR="00B04C72">
        <w:rPr>
          <w:rFonts w:eastAsia="Calibri"/>
        </w:rPr>
        <w:t xml:space="preserve">more </w:t>
      </w:r>
      <w:r w:rsidR="00DB46B6">
        <w:rPr>
          <w:rFonts w:eastAsia="Calibri"/>
        </w:rPr>
        <w:t>protective than federal law</w:t>
      </w:r>
      <w:r>
        <w:rPr>
          <w:rFonts w:eastAsia="Calibri"/>
        </w:rPr>
        <w:t xml:space="preserve"> to support their adoption</w:t>
      </w:r>
      <w:r w:rsidR="00DB46B6">
        <w:rPr>
          <w:rFonts w:eastAsia="Calibri"/>
        </w:rPr>
        <w:t xml:space="preserve">. There is no evidence in the record to suggest that the minimal emissions reductions associated with </w:t>
      </w:r>
      <w:r w:rsidR="00DB46B6">
        <w:rPr>
          <w:rFonts w:eastAsia="Calibri"/>
        </w:rPr>
        <w:lastRenderedPageBreak/>
        <w:t xml:space="preserve">redundant controls would have a demonstrable impact on </w:t>
      </w:r>
      <w:r w:rsidR="00B04C72">
        <w:rPr>
          <w:rFonts w:eastAsia="Calibri"/>
        </w:rPr>
        <w:t>ozone concentrations</w:t>
      </w:r>
      <w:r w:rsidR="00DB46B6">
        <w:rPr>
          <w:rFonts w:eastAsia="Calibri"/>
        </w:rPr>
        <w:t xml:space="preserve">. For this reason, the Board should not adopt these standards. </w:t>
      </w:r>
    </w:p>
    <w:p w14:paraId="0B88709B" w14:textId="5CFDA37E" w:rsidR="00572A11" w:rsidRDefault="00DB46B6" w:rsidP="005F5BFE">
      <w:pPr>
        <w:spacing w:after="0" w:line="480" w:lineRule="auto"/>
        <w:ind w:firstLine="720"/>
        <w:rPr>
          <w:rFonts w:eastAsia="Calibri"/>
        </w:rPr>
      </w:pPr>
      <w:r>
        <w:rPr>
          <w:rFonts w:eastAsia="Calibri"/>
        </w:rPr>
        <w:t xml:space="preserve">If the Board determines against the weight of evidence to adopt these standards, NMOGA urges the Board to </w:t>
      </w:r>
      <w:r w:rsidR="00AD32EB">
        <w:rPr>
          <w:rFonts w:eastAsia="Calibri"/>
        </w:rPr>
        <w:t xml:space="preserve">not </w:t>
      </w:r>
      <w:r w:rsidR="004E4932">
        <w:rPr>
          <w:rFonts w:eastAsia="Calibri"/>
        </w:rPr>
        <w:t>require redundant controls</w:t>
      </w:r>
      <w:r w:rsidR="00AD32EB">
        <w:rPr>
          <w:rFonts w:eastAsia="Calibri"/>
        </w:rPr>
        <w:t xml:space="preserve"> during a facility-wide upset. </w:t>
      </w:r>
      <w:r w:rsidR="004E4932">
        <w:rPr>
          <w:rFonts w:eastAsia="Calibri"/>
        </w:rPr>
        <w:t>The reason for this is simple:</w:t>
      </w:r>
      <w:r w:rsidR="00AD32EB">
        <w:rPr>
          <w:rFonts w:eastAsia="Calibri"/>
        </w:rPr>
        <w:t xml:space="preserve"> the conditions that caused the primary VRU to be down will also impact any redundant controls. To ensure this standard i</w:t>
      </w:r>
      <w:r w:rsidR="00B04C72">
        <w:rPr>
          <w:rFonts w:eastAsia="Calibri"/>
        </w:rPr>
        <w:t xml:space="preserve">s technically feasible, it should not apply during such events. </w:t>
      </w:r>
    </w:p>
    <w:p w14:paraId="69B418EA" w14:textId="4867EF1B" w:rsidR="003A3D8B" w:rsidRPr="000B1291" w:rsidRDefault="004E4932" w:rsidP="005F5BFE">
      <w:pPr>
        <w:spacing w:after="0" w:line="480" w:lineRule="auto"/>
        <w:ind w:firstLine="720"/>
      </w:pPr>
      <w:r>
        <w:rPr>
          <w:rFonts w:eastAsia="Calibri"/>
        </w:rPr>
        <w:t>Beyond this concern, t</w:t>
      </w:r>
      <w:r w:rsidR="003A3D8B">
        <w:rPr>
          <w:rFonts w:eastAsia="Calibri"/>
        </w:rPr>
        <w:t xml:space="preserve">he Department and other stakeholders have worked throughout this </w:t>
      </w:r>
      <w:r w:rsidR="00FA62DD">
        <w:rPr>
          <w:rFonts w:eastAsia="Calibri"/>
        </w:rPr>
        <w:t>rulemaking</w:t>
      </w:r>
      <w:r w:rsidR="003A3D8B">
        <w:rPr>
          <w:rFonts w:eastAsia="Calibri"/>
        </w:rPr>
        <w:t xml:space="preserve"> to clarify and refine section 20.2.50.115 NMAC in several ways, as documented in </w:t>
      </w:r>
      <w:r w:rsidR="0097308E">
        <w:rPr>
          <w:rFonts w:eastAsia="Calibri"/>
        </w:rPr>
        <w:t xml:space="preserve">NMED and </w:t>
      </w:r>
      <w:r w:rsidR="003A3D8B">
        <w:rPr>
          <w:rFonts w:eastAsia="Calibri"/>
        </w:rPr>
        <w:t xml:space="preserve">NMOGA’s final redline. NMOGA asks </w:t>
      </w:r>
      <w:r w:rsidR="00FA62DD">
        <w:rPr>
          <w:rFonts w:eastAsia="Calibri"/>
        </w:rPr>
        <w:t>that the</w:t>
      </w:r>
      <w:r w:rsidR="003A3D8B">
        <w:rPr>
          <w:rFonts w:eastAsia="Calibri"/>
        </w:rPr>
        <w:t xml:space="preserve"> Board adopt these critical changes. </w:t>
      </w:r>
    </w:p>
    <w:p w14:paraId="7B3F2411" w14:textId="77777777" w:rsidR="00B02F67" w:rsidRPr="00661096" w:rsidRDefault="00B02F67" w:rsidP="00661096">
      <w:pPr>
        <w:pStyle w:val="Heading2"/>
      </w:pPr>
      <w:bookmarkStart w:id="10" w:name="_Toc93563254"/>
      <w:r w:rsidRPr="00CE46C5">
        <w:t>Equipment Leaks &amp; Fugitive Emissions, 20.2.50.116 NMAC</w:t>
      </w:r>
      <w:r>
        <w:t>.</w:t>
      </w:r>
      <w:bookmarkEnd w:id="10"/>
      <w:r>
        <w:t xml:space="preserve"> </w:t>
      </w:r>
    </w:p>
    <w:p w14:paraId="4057A613" w14:textId="77777777" w:rsidR="00B02F67" w:rsidRPr="00661096" w:rsidRDefault="00B02F67" w:rsidP="00661096">
      <w:pPr>
        <w:pStyle w:val="Heading3"/>
      </w:pPr>
      <w:bookmarkStart w:id="11" w:name="_Toc93563255"/>
      <w:r w:rsidRPr="00661096">
        <w:t>The Board Should Reject the More Stringent Leak Detection and Repair Thresholds and Frequencies Proposed by NMED and Adopt NMOGA’s Proposal Because the Added Stringency of NMED’s Proposal Has Minimal Impacts on VOC Reductions and Fails to Account for The Diminishing Returns of Increased Survey Frequency.</w:t>
      </w:r>
      <w:bookmarkEnd w:id="11"/>
    </w:p>
    <w:p w14:paraId="7D8AF127" w14:textId="7E48752F" w:rsidR="00B02F67" w:rsidRPr="003E7309" w:rsidRDefault="00B02F67" w:rsidP="00B02F67">
      <w:pPr>
        <w:spacing w:after="0" w:line="480" w:lineRule="auto"/>
        <w:ind w:firstLine="720"/>
        <w:jc w:val="both"/>
        <w:rPr>
          <w:rFonts w:cs="Times New Roman"/>
          <w:szCs w:val="24"/>
        </w:rPr>
      </w:pPr>
      <w:r w:rsidRPr="005573D2">
        <w:rPr>
          <w:rFonts w:cs="Times New Roman"/>
          <w:szCs w:val="24"/>
        </w:rPr>
        <w:t xml:space="preserve">The record reflects that VOC emissions reductions are not </w:t>
      </w:r>
      <w:r>
        <w:rPr>
          <w:rFonts w:cs="Times New Roman"/>
          <w:szCs w:val="24"/>
        </w:rPr>
        <w:t xml:space="preserve">very </w:t>
      </w:r>
      <w:r w:rsidRPr="005573D2">
        <w:rPr>
          <w:rFonts w:cs="Times New Roman"/>
          <w:szCs w:val="24"/>
        </w:rPr>
        <w:t xml:space="preserve">effective </w:t>
      </w:r>
      <w:r>
        <w:rPr>
          <w:rFonts w:cs="Times New Roman"/>
          <w:szCs w:val="24"/>
        </w:rPr>
        <w:t>at</w:t>
      </w:r>
      <w:r w:rsidRPr="005573D2">
        <w:rPr>
          <w:rFonts w:cs="Times New Roman"/>
          <w:szCs w:val="24"/>
        </w:rPr>
        <w:t xml:space="preserve"> reducing ozone in New Mexico.</w:t>
      </w:r>
      <w:r>
        <w:rPr>
          <w:rFonts w:cs="Times New Roman"/>
          <w:szCs w:val="24"/>
        </w:rPr>
        <w:t xml:space="preserve"> </w:t>
      </w:r>
      <w:r w:rsidRPr="005573D2">
        <w:rPr>
          <w:rFonts w:cs="Times New Roman"/>
          <w:szCs w:val="24"/>
        </w:rPr>
        <w:t xml:space="preserve">The </w:t>
      </w:r>
      <w:r>
        <w:rPr>
          <w:rFonts w:cs="Times New Roman"/>
          <w:szCs w:val="24"/>
        </w:rPr>
        <w:t>Board</w:t>
      </w:r>
      <w:r w:rsidRPr="005573D2">
        <w:rPr>
          <w:rFonts w:cs="Times New Roman"/>
          <w:szCs w:val="24"/>
        </w:rPr>
        <w:t xml:space="preserve"> must give due consideration to the “</w:t>
      </w:r>
      <w:r w:rsidRPr="005573D2">
        <w:rPr>
          <w:rFonts w:eastAsia="Times New Roman" w:cs="Times New Roman"/>
          <w:color w:val="3D3D3D"/>
          <w:szCs w:val="24"/>
        </w:rPr>
        <w:t xml:space="preserve">character and degree of injury to or interference with health, welfare, visibility and property.” </w:t>
      </w:r>
      <w:r w:rsidRPr="00730CBA">
        <w:rPr>
          <w:rFonts w:eastAsia="Times New Roman" w:cs="Times New Roman"/>
          <w:color w:val="3D3D3D"/>
          <w:szCs w:val="24"/>
        </w:rPr>
        <w:t>NMSA</w:t>
      </w:r>
      <w:r>
        <w:rPr>
          <w:rFonts w:eastAsia="Times New Roman" w:cs="Times New Roman"/>
          <w:color w:val="3D3D3D"/>
          <w:szCs w:val="24"/>
        </w:rPr>
        <w:t xml:space="preserve"> </w:t>
      </w:r>
      <w:r w:rsidRPr="00730CBA">
        <w:rPr>
          <w:rFonts w:eastAsia="Times New Roman" w:cs="Times New Roman"/>
          <w:color w:val="3D3D3D"/>
          <w:szCs w:val="24"/>
        </w:rPr>
        <w:t>1978, § 74-2-5</w:t>
      </w:r>
      <w:r>
        <w:rPr>
          <w:rFonts w:eastAsia="Times New Roman" w:cs="Times New Roman"/>
          <w:color w:val="3D3D3D"/>
          <w:szCs w:val="24"/>
        </w:rPr>
        <w:t xml:space="preserve">. </w:t>
      </w:r>
      <w:r w:rsidRPr="005573D2">
        <w:rPr>
          <w:rFonts w:eastAsia="Times New Roman" w:cs="Times New Roman"/>
          <w:color w:val="3D3D3D"/>
          <w:szCs w:val="24"/>
        </w:rPr>
        <w:t>Th</w:t>
      </w:r>
      <w:r>
        <w:rPr>
          <w:rFonts w:eastAsia="Times New Roman" w:cs="Times New Roman"/>
          <w:color w:val="3D3D3D"/>
          <w:szCs w:val="24"/>
        </w:rPr>
        <w:t xml:space="preserve">is means </w:t>
      </w:r>
      <w:r w:rsidRPr="005573D2">
        <w:rPr>
          <w:rFonts w:eastAsia="Times New Roman" w:cs="Times New Roman"/>
          <w:color w:val="3D3D3D"/>
          <w:szCs w:val="24"/>
        </w:rPr>
        <w:t xml:space="preserve">the </w:t>
      </w:r>
      <w:r>
        <w:rPr>
          <w:rFonts w:eastAsia="Times New Roman" w:cs="Times New Roman"/>
          <w:color w:val="3D3D3D"/>
          <w:szCs w:val="24"/>
        </w:rPr>
        <w:t>Board</w:t>
      </w:r>
      <w:r w:rsidRPr="005573D2">
        <w:rPr>
          <w:rFonts w:eastAsia="Times New Roman" w:cs="Times New Roman"/>
          <w:color w:val="3D3D3D"/>
          <w:szCs w:val="24"/>
        </w:rPr>
        <w:t xml:space="preserve"> </w:t>
      </w:r>
      <w:r>
        <w:rPr>
          <w:rFonts w:eastAsia="Times New Roman" w:cs="Times New Roman"/>
          <w:color w:val="3D3D3D"/>
          <w:szCs w:val="24"/>
        </w:rPr>
        <w:t>must consider the harm at issue and develop rules that are responsive to that harm</w:t>
      </w:r>
      <w:r w:rsidRPr="005573D2">
        <w:rPr>
          <w:rFonts w:eastAsia="Times New Roman" w:cs="Times New Roman"/>
          <w:color w:val="3D3D3D"/>
          <w:szCs w:val="24"/>
        </w:rPr>
        <w:t xml:space="preserve">. </w:t>
      </w:r>
      <w:r>
        <w:rPr>
          <w:rFonts w:eastAsia="Times New Roman" w:cs="Times New Roman"/>
          <w:color w:val="3D3D3D"/>
          <w:szCs w:val="24"/>
        </w:rPr>
        <w:t xml:space="preserve">By requiring the Board to consider character and degree of injury, the legislature seeks to establish a fit between the problem and solution.  For example, if the character of injury is such that only certain types of measures will redress that injury, the statute implicitly directs the Board to only adopt those standards that are responsive.   </w:t>
      </w:r>
    </w:p>
    <w:p w14:paraId="56526598" w14:textId="3CC47786" w:rsidR="00B02F67" w:rsidRDefault="00B02F67" w:rsidP="00B02F67">
      <w:pPr>
        <w:spacing w:after="0" w:line="480" w:lineRule="auto"/>
        <w:ind w:firstLine="720"/>
        <w:jc w:val="both"/>
        <w:rPr>
          <w:rFonts w:cs="Times New Roman"/>
          <w:szCs w:val="24"/>
        </w:rPr>
      </w:pPr>
      <w:r w:rsidRPr="005573D2">
        <w:rPr>
          <w:rFonts w:eastAsia="Times New Roman" w:cs="Times New Roman"/>
          <w:color w:val="3D3D3D"/>
          <w:szCs w:val="24"/>
        </w:rPr>
        <w:lastRenderedPageBreak/>
        <w:t xml:space="preserve">While New Mexico needs strong measures to address ozone, the </w:t>
      </w:r>
      <w:r w:rsidR="004675E2">
        <w:rPr>
          <w:rFonts w:eastAsia="Times New Roman" w:cs="Times New Roman"/>
          <w:color w:val="3D3D3D"/>
          <w:szCs w:val="24"/>
        </w:rPr>
        <w:t>weight of evidence fails to support the proposition</w:t>
      </w:r>
      <w:r w:rsidRPr="005573D2">
        <w:rPr>
          <w:rFonts w:eastAsia="Times New Roman" w:cs="Times New Roman"/>
          <w:color w:val="3D3D3D"/>
          <w:szCs w:val="24"/>
        </w:rPr>
        <w:t xml:space="preserve"> that reducing VOC emissions through measures such as LDAR will redress that injury. </w:t>
      </w:r>
      <w:r w:rsidRPr="005573D2">
        <w:rPr>
          <w:rFonts w:cs="Times New Roman"/>
          <w:bCs/>
          <w:szCs w:val="24"/>
        </w:rPr>
        <w:t xml:space="preserve">The areas of New Mexico impacted by this rule are NOx sensitive, meaning that VOC emissions reductions have a relatively </w:t>
      </w:r>
      <w:r>
        <w:rPr>
          <w:rFonts w:cs="Times New Roman"/>
          <w:bCs/>
          <w:szCs w:val="24"/>
        </w:rPr>
        <w:t>lesser</w:t>
      </w:r>
      <w:r w:rsidRPr="005573D2">
        <w:rPr>
          <w:rFonts w:cs="Times New Roman"/>
          <w:bCs/>
          <w:szCs w:val="24"/>
        </w:rPr>
        <w:t xml:space="preserve"> impact on ozone concentrations, particularly in the quantities attributable to anthropogenic sources, such as oil and gas. As Mr. McNally testified, “a</w:t>
      </w:r>
      <w:r w:rsidRPr="005573D2">
        <w:rPr>
          <w:rFonts w:cs="Times New Roman"/>
          <w:szCs w:val="24"/>
        </w:rPr>
        <w:t xml:space="preserve">dditional controls on oil and gas VOC emissions are not an effective means of controlling ambient ozone levels in New Mexico, except for possibly in a very limited area in northeastern San Juan County.” NMOGA Exhibit A4, at 16. Based on the limited efficacy of VOC controls, it makes little sense to adopt some of the most stringent statewide leak detection and repair standards in the country when those standards will do little to help </w:t>
      </w:r>
      <w:r>
        <w:rPr>
          <w:rFonts w:cs="Times New Roman"/>
          <w:szCs w:val="24"/>
        </w:rPr>
        <w:t>the</w:t>
      </w:r>
      <w:r w:rsidRPr="005573D2">
        <w:rPr>
          <w:rFonts w:cs="Times New Roman"/>
          <w:szCs w:val="24"/>
        </w:rPr>
        <w:t xml:space="preserve"> state combat its ozone challenges. </w:t>
      </w:r>
    </w:p>
    <w:p w14:paraId="32105EF2" w14:textId="77777777" w:rsidR="00B02F67" w:rsidRPr="005573D2" w:rsidRDefault="00B02F67" w:rsidP="00B02F67">
      <w:pPr>
        <w:spacing w:after="0" w:line="480" w:lineRule="auto"/>
        <w:ind w:firstLine="720"/>
        <w:jc w:val="both"/>
        <w:rPr>
          <w:rFonts w:cs="Times New Roman"/>
          <w:szCs w:val="24"/>
        </w:rPr>
      </w:pPr>
      <w:r>
        <w:rPr>
          <w:rFonts w:cs="Times New Roman"/>
          <w:szCs w:val="24"/>
        </w:rPr>
        <w:t xml:space="preserve">While NMOGA supports a strong LDAR program as a matter of good policy, NMOGA does not believe the onerous proposals advanced by the Department are warranted given the limited impact VOC emissions reductions are anticipated to have on ozone concentrations. Adopting these proposals would reflect inadequate consideration of the “degree and character” of the injury and the ability of these standards to redress that injury. </w:t>
      </w:r>
    </w:p>
    <w:p w14:paraId="391744E1" w14:textId="582A1570" w:rsidR="00B02F67" w:rsidRDefault="00B02F67" w:rsidP="00B02F67">
      <w:pPr>
        <w:spacing w:after="0" w:line="480" w:lineRule="auto"/>
        <w:ind w:firstLine="720"/>
        <w:jc w:val="both"/>
        <w:rPr>
          <w:bCs/>
        </w:rPr>
      </w:pPr>
      <w:r>
        <w:rPr>
          <w:bCs/>
        </w:rPr>
        <w:t>In addition to considering the character and degree of injury, the Board also must consider the “</w:t>
      </w:r>
      <w:r w:rsidRPr="007861EA">
        <w:rPr>
          <w:bCs/>
        </w:rPr>
        <w:t>technical practicability and economic reasonableness of reducing or eliminating air contaminants from the sources involved</w:t>
      </w:r>
      <w:r>
        <w:rPr>
          <w:bCs/>
        </w:rPr>
        <w:t xml:space="preserve">.”  </w:t>
      </w:r>
      <w:r w:rsidRPr="00730CBA">
        <w:rPr>
          <w:rFonts w:eastAsia="Times New Roman" w:cs="Times New Roman"/>
          <w:color w:val="3D3D3D"/>
          <w:szCs w:val="24"/>
        </w:rPr>
        <w:t>NMSA</w:t>
      </w:r>
      <w:r>
        <w:rPr>
          <w:rFonts w:eastAsia="Times New Roman" w:cs="Times New Roman"/>
          <w:color w:val="3D3D3D"/>
          <w:szCs w:val="24"/>
        </w:rPr>
        <w:t xml:space="preserve"> </w:t>
      </w:r>
      <w:r w:rsidRPr="00730CBA">
        <w:rPr>
          <w:rFonts w:eastAsia="Times New Roman" w:cs="Times New Roman"/>
          <w:color w:val="3D3D3D"/>
          <w:szCs w:val="24"/>
        </w:rPr>
        <w:t>1978, § 74-2-5</w:t>
      </w:r>
      <w:r>
        <w:rPr>
          <w:rFonts w:eastAsia="Times New Roman" w:cs="Times New Roman"/>
          <w:color w:val="3D3D3D"/>
          <w:szCs w:val="24"/>
        </w:rPr>
        <w:t xml:space="preserve">. </w:t>
      </w:r>
      <w:r>
        <w:rPr>
          <w:bCs/>
        </w:rPr>
        <w:t xml:space="preserve">This mandatory consideration reflects the legislature’s assessment that not all possible emissions reductions are worth </w:t>
      </w:r>
      <w:proofErr w:type="gramStart"/>
      <w:r>
        <w:rPr>
          <w:bCs/>
        </w:rPr>
        <w:t>pursuing:</w:t>
      </w:r>
      <w:proofErr w:type="gramEnd"/>
      <w:r>
        <w:rPr>
          <w:bCs/>
        </w:rPr>
        <w:t xml:space="preserve"> where there are technical or economic challenges that outweigh the benefits of implementing the proposed standards, </w:t>
      </w:r>
      <w:r w:rsidR="007E3D1D">
        <w:rPr>
          <w:bCs/>
        </w:rPr>
        <w:t xml:space="preserve">based on the weight of evidence, </w:t>
      </w:r>
      <w:r>
        <w:rPr>
          <w:bCs/>
        </w:rPr>
        <w:t xml:space="preserve">such standards should not be adopted. </w:t>
      </w:r>
    </w:p>
    <w:p w14:paraId="4CBA32D8" w14:textId="77777777" w:rsidR="00B02F67" w:rsidRDefault="00B02F67" w:rsidP="00B02F67">
      <w:pPr>
        <w:spacing w:after="0" w:line="480" w:lineRule="auto"/>
        <w:ind w:firstLine="720"/>
        <w:jc w:val="both"/>
        <w:rPr>
          <w:bCs/>
        </w:rPr>
      </w:pPr>
      <w:r>
        <w:rPr>
          <w:bCs/>
        </w:rPr>
        <w:lastRenderedPageBreak/>
        <w:t>Based on this consideration, the Board should reject the excessive leak frequencies proposed by the department because they impose unreasonable costs on the oil and gas industry and provide little emissions benefit. The competing proposals are as follows:</w:t>
      </w:r>
    </w:p>
    <w:tbl>
      <w:tblPr>
        <w:tblStyle w:val="TableGrid"/>
        <w:tblW w:w="9715" w:type="dxa"/>
        <w:tblLook w:val="0420" w:firstRow="1" w:lastRow="0" w:firstColumn="0" w:lastColumn="0" w:noHBand="0" w:noVBand="1"/>
      </w:tblPr>
      <w:tblGrid>
        <w:gridCol w:w="1987"/>
        <w:gridCol w:w="1968"/>
        <w:gridCol w:w="2070"/>
        <w:gridCol w:w="1552"/>
        <w:gridCol w:w="2138"/>
      </w:tblGrid>
      <w:tr w:rsidR="00B02F67" w:rsidRPr="00E0214F" w14:paraId="19D35648" w14:textId="77777777" w:rsidTr="00A6468A">
        <w:trPr>
          <w:trHeight w:val="152"/>
        </w:trPr>
        <w:tc>
          <w:tcPr>
            <w:tcW w:w="1987" w:type="dxa"/>
            <w:vAlign w:val="center"/>
          </w:tcPr>
          <w:p w14:paraId="1E3D70C5" w14:textId="77777777" w:rsidR="00B02F67" w:rsidRPr="00E0214F" w:rsidRDefault="00B02F67" w:rsidP="00A6468A">
            <w:pPr>
              <w:spacing w:line="480" w:lineRule="auto"/>
              <w:rPr>
                <w:b/>
                <w:bCs/>
              </w:rPr>
            </w:pPr>
          </w:p>
        </w:tc>
        <w:tc>
          <w:tcPr>
            <w:tcW w:w="4038" w:type="dxa"/>
            <w:gridSpan w:val="2"/>
            <w:vAlign w:val="center"/>
          </w:tcPr>
          <w:p w14:paraId="361C0969" w14:textId="77777777" w:rsidR="00B02F67" w:rsidRPr="00E0214F" w:rsidRDefault="00B02F67" w:rsidP="00A6468A">
            <w:pPr>
              <w:rPr>
                <w:b/>
                <w:bCs/>
              </w:rPr>
            </w:pPr>
            <w:r>
              <w:rPr>
                <w:b/>
                <w:bCs/>
              </w:rPr>
              <w:t>Well Sites &amp; Standalone Tank Batteries</w:t>
            </w:r>
          </w:p>
        </w:tc>
        <w:tc>
          <w:tcPr>
            <w:tcW w:w="3690" w:type="dxa"/>
            <w:gridSpan w:val="2"/>
            <w:vAlign w:val="center"/>
          </w:tcPr>
          <w:p w14:paraId="6CA1E4CC" w14:textId="77777777" w:rsidR="00B02F67" w:rsidRPr="00E0214F" w:rsidRDefault="00B02F67" w:rsidP="00A6468A">
            <w:pPr>
              <w:rPr>
                <w:b/>
                <w:bCs/>
              </w:rPr>
            </w:pPr>
            <w:r w:rsidRPr="00F47989">
              <w:rPr>
                <w:b/>
                <w:bCs/>
              </w:rPr>
              <w:t>Gathering and Boosting Stations, Gas Plant</w:t>
            </w:r>
            <w:r>
              <w:rPr>
                <w:b/>
                <w:bCs/>
              </w:rPr>
              <w:t>s,</w:t>
            </w:r>
            <w:r w:rsidRPr="00F47989">
              <w:rPr>
                <w:b/>
                <w:bCs/>
              </w:rPr>
              <w:t xml:space="preserve"> and Transmission Compressor Stations</w:t>
            </w:r>
          </w:p>
        </w:tc>
      </w:tr>
      <w:tr w:rsidR="00B02F67" w:rsidRPr="00E0214F" w14:paraId="4136A7E9" w14:textId="77777777" w:rsidTr="00A6468A">
        <w:trPr>
          <w:trHeight w:val="152"/>
        </w:trPr>
        <w:tc>
          <w:tcPr>
            <w:tcW w:w="1987" w:type="dxa"/>
            <w:hideMark/>
          </w:tcPr>
          <w:p w14:paraId="5BA1B87C" w14:textId="77777777" w:rsidR="00B02F67" w:rsidRPr="00E0214F" w:rsidRDefault="00B02F67" w:rsidP="00A6468A">
            <w:pPr>
              <w:spacing w:line="480" w:lineRule="auto"/>
              <w:jc w:val="left"/>
              <w:rPr>
                <w:bCs/>
              </w:rPr>
            </w:pPr>
            <w:r w:rsidRPr="00E0214F">
              <w:rPr>
                <w:b/>
                <w:bCs/>
              </w:rPr>
              <w:t>Frequency</w:t>
            </w:r>
          </w:p>
        </w:tc>
        <w:tc>
          <w:tcPr>
            <w:tcW w:w="1968" w:type="dxa"/>
            <w:hideMark/>
          </w:tcPr>
          <w:p w14:paraId="662F4CF4" w14:textId="77777777" w:rsidR="00B02F67" w:rsidRPr="00E0214F" w:rsidRDefault="00B02F67" w:rsidP="00A6468A">
            <w:pPr>
              <w:spacing w:line="480" w:lineRule="auto"/>
              <w:jc w:val="left"/>
              <w:rPr>
                <w:bCs/>
              </w:rPr>
            </w:pPr>
            <w:r w:rsidRPr="00E0214F">
              <w:rPr>
                <w:b/>
                <w:bCs/>
              </w:rPr>
              <w:t xml:space="preserve">NMED </w:t>
            </w:r>
          </w:p>
        </w:tc>
        <w:tc>
          <w:tcPr>
            <w:tcW w:w="2070" w:type="dxa"/>
            <w:hideMark/>
          </w:tcPr>
          <w:p w14:paraId="3FA819A9" w14:textId="77777777" w:rsidR="00B02F67" w:rsidRPr="00E0214F" w:rsidRDefault="00B02F67" w:rsidP="00A6468A">
            <w:pPr>
              <w:spacing w:line="480" w:lineRule="auto"/>
              <w:jc w:val="left"/>
              <w:rPr>
                <w:bCs/>
              </w:rPr>
            </w:pPr>
            <w:r w:rsidRPr="00E0214F">
              <w:rPr>
                <w:b/>
                <w:bCs/>
              </w:rPr>
              <w:t>NMOGA</w:t>
            </w:r>
          </w:p>
        </w:tc>
        <w:tc>
          <w:tcPr>
            <w:tcW w:w="1552" w:type="dxa"/>
          </w:tcPr>
          <w:p w14:paraId="2EED4D40" w14:textId="77777777" w:rsidR="00B02F67" w:rsidRPr="00E0214F" w:rsidRDefault="00B02F67" w:rsidP="00A6468A">
            <w:pPr>
              <w:spacing w:line="480" w:lineRule="auto"/>
              <w:jc w:val="left"/>
              <w:rPr>
                <w:b/>
                <w:bCs/>
              </w:rPr>
            </w:pPr>
            <w:r w:rsidRPr="00E0214F">
              <w:rPr>
                <w:b/>
                <w:bCs/>
              </w:rPr>
              <w:t xml:space="preserve">NMED </w:t>
            </w:r>
          </w:p>
        </w:tc>
        <w:tc>
          <w:tcPr>
            <w:tcW w:w="2138" w:type="dxa"/>
          </w:tcPr>
          <w:p w14:paraId="60B95675" w14:textId="77777777" w:rsidR="00B02F67" w:rsidRPr="00E0214F" w:rsidRDefault="00B02F67" w:rsidP="00A6468A">
            <w:pPr>
              <w:spacing w:line="480" w:lineRule="auto"/>
              <w:jc w:val="left"/>
              <w:rPr>
                <w:b/>
                <w:bCs/>
              </w:rPr>
            </w:pPr>
            <w:r w:rsidRPr="00E0214F">
              <w:rPr>
                <w:b/>
                <w:bCs/>
              </w:rPr>
              <w:t>NMOGA</w:t>
            </w:r>
          </w:p>
        </w:tc>
      </w:tr>
      <w:tr w:rsidR="00B02F67" w:rsidRPr="00E0214F" w14:paraId="69580083" w14:textId="77777777" w:rsidTr="00A6468A">
        <w:trPr>
          <w:trHeight w:val="458"/>
        </w:trPr>
        <w:tc>
          <w:tcPr>
            <w:tcW w:w="1987" w:type="dxa"/>
            <w:hideMark/>
          </w:tcPr>
          <w:p w14:paraId="68D47494" w14:textId="77777777" w:rsidR="00B02F67" w:rsidRPr="00E0214F" w:rsidRDefault="00B02F67" w:rsidP="00A6468A">
            <w:pPr>
              <w:spacing w:line="480" w:lineRule="auto"/>
              <w:jc w:val="left"/>
              <w:rPr>
                <w:bCs/>
              </w:rPr>
            </w:pPr>
            <w:r w:rsidRPr="00E0214F">
              <w:rPr>
                <w:bCs/>
              </w:rPr>
              <w:t>Annually</w:t>
            </w:r>
          </w:p>
        </w:tc>
        <w:tc>
          <w:tcPr>
            <w:tcW w:w="1968" w:type="dxa"/>
            <w:hideMark/>
          </w:tcPr>
          <w:p w14:paraId="398930ED" w14:textId="77777777" w:rsidR="00B02F67" w:rsidRPr="00E0214F" w:rsidRDefault="00B02F67" w:rsidP="00A6468A">
            <w:pPr>
              <w:spacing w:line="480" w:lineRule="auto"/>
              <w:jc w:val="left"/>
              <w:rPr>
                <w:bCs/>
              </w:rPr>
            </w:pPr>
            <w:r w:rsidRPr="00E0214F">
              <w:rPr>
                <w:bCs/>
              </w:rPr>
              <w:t>&lt;2 TPY</w:t>
            </w:r>
          </w:p>
        </w:tc>
        <w:tc>
          <w:tcPr>
            <w:tcW w:w="2070" w:type="dxa"/>
            <w:hideMark/>
          </w:tcPr>
          <w:p w14:paraId="5F26C1CC" w14:textId="77777777" w:rsidR="00B02F67" w:rsidRPr="00E0214F" w:rsidRDefault="00B02F67" w:rsidP="00A6468A">
            <w:pPr>
              <w:spacing w:line="480" w:lineRule="auto"/>
              <w:jc w:val="left"/>
              <w:rPr>
                <w:bCs/>
              </w:rPr>
            </w:pPr>
            <w:r w:rsidRPr="00E0214F">
              <w:rPr>
                <w:bCs/>
              </w:rPr>
              <w:t>&lt;10 TPY</w:t>
            </w:r>
          </w:p>
        </w:tc>
        <w:tc>
          <w:tcPr>
            <w:tcW w:w="1552" w:type="dxa"/>
          </w:tcPr>
          <w:p w14:paraId="6CE596CF" w14:textId="77777777" w:rsidR="00B02F67" w:rsidRPr="00E0214F" w:rsidRDefault="00B02F67" w:rsidP="00A6468A">
            <w:pPr>
              <w:spacing w:line="480" w:lineRule="auto"/>
              <w:jc w:val="left"/>
              <w:rPr>
                <w:bCs/>
              </w:rPr>
            </w:pPr>
            <w:r w:rsidRPr="004154FE">
              <w:rPr>
                <w:rFonts w:cs="Times New Roman"/>
                <w:kern w:val="24"/>
                <w:szCs w:val="24"/>
              </w:rPr>
              <w:t>None</w:t>
            </w:r>
          </w:p>
        </w:tc>
        <w:tc>
          <w:tcPr>
            <w:tcW w:w="2138" w:type="dxa"/>
          </w:tcPr>
          <w:p w14:paraId="3ED76C06" w14:textId="77777777" w:rsidR="00B02F67" w:rsidRPr="00E0214F" w:rsidRDefault="00B02F67" w:rsidP="00A6468A">
            <w:pPr>
              <w:spacing w:line="480" w:lineRule="auto"/>
              <w:jc w:val="left"/>
              <w:rPr>
                <w:bCs/>
              </w:rPr>
            </w:pPr>
            <w:r w:rsidRPr="004154FE">
              <w:rPr>
                <w:rFonts w:cs="Times New Roman"/>
                <w:kern w:val="24"/>
                <w:szCs w:val="24"/>
              </w:rPr>
              <w:t>None</w:t>
            </w:r>
          </w:p>
        </w:tc>
      </w:tr>
      <w:tr w:rsidR="00B02F67" w:rsidRPr="00E0214F" w14:paraId="27377819" w14:textId="77777777" w:rsidTr="00A6468A">
        <w:trPr>
          <w:trHeight w:val="50"/>
        </w:trPr>
        <w:tc>
          <w:tcPr>
            <w:tcW w:w="1987" w:type="dxa"/>
            <w:hideMark/>
          </w:tcPr>
          <w:p w14:paraId="701895BA" w14:textId="77777777" w:rsidR="00B02F67" w:rsidRPr="00E0214F" w:rsidRDefault="00B02F67" w:rsidP="00A6468A">
            <w:pPr>
              <w:spacing w:line="480" w:lineRule="auto"/>
              <w:jc w:val="left"/>
              <w:rPr>
                <w:bCs/>
              </w:rPr>
            </w:pPr>
            <w:r w:rsidRPr="00E0214F">
              <w:rPr>
                <w:bCs/>
              </w:rPr>
              <w:t>Semiannually</w:t>
            </w:r>
          </w:p>
        </w:tc>
        <w:tc>
          <w:tcPr>
            <w:tcW w:w="1968" w:type="dxa"/>
            <w:hideMark/>
          </w:tcPr>
          <w:p w14:paraId="7A34EF3C" w14:textId="77777777" w:rsidR="00B02F67" w:rsidRPr="00E0214F" w:rsidRDefault="00B02F67" w:rsidP="00A6468A">
            <w:pPr>
              <w:spacing w:line="480" w:lineRule="auto"/>
              <w:jc w:val="left"/>
              <w:rPr>
                <w:bCs/>
              </w:rPr>
            </w:pPr>
            <w:r w:rsidRPr="00E0214F">
              <w:rPr>
                <w:bCs/>
              </w:rPr>
              <w:t>=&gt;2 to &lt;5 TPY</w:t>
            </w:r>
          </w:p>
        </w:tc>
        <w:tc>
          <w:tcPr>
            <w:tcW w:w="2070" w:type="dxa"/>
            <w:hideMark/>
          </w:tcPr>
          <w:p w14:paraId="5BCADBF0" w14:textId="77777777" w:rsidR="00B02F67" w:rsidRPr="00E0214F" w:rsidRDefault="00B02F67" w:rsidP="00A6468A">
            <w:pPr>
              <w:spacing w:line="480" w:lineRule="auto"/>
              <w:jc w:val="left"/>
              <w:rPr>
                <w:bCs/>
              </w:rPr>
            </w:pPr>
            <w:r w:rsidRPr="00E0214F">
              <w:rPr>
                <w:bCs/>
              </w:rPr>
              <w:t>=&gt;10 to &lt;25 TPY</w:t>
            </w:r>
          </w:p>
        </w:tc>
        <w:tc>
          <w:tcPr>
            <w:tcW w:w="1552" w:type="dxa"/>
            <w:vAlign w:val="center"/>
          </w:tcPr>
          <w:p w14:paraId="10646BDE" w14:textId="77777777" w:rsidR="00B02F67" w:rsidRPr="004154FE" w:rsidRDefault="00B02F67" w:rsidP="00A6468A">
            <w:pPr>
              <w:spacing w:line="480" w:lineRule="auto"/>
              <w:jc w:val="left"/>
              <w:rPr>
                <w:rFonts w:cs="Times New Roman"/>
                <w:szCs w:val="24"/>
              </w:rPr>
            </w:pPr>
            <w:r w:rsidRPr="004154FE">
              <w:rPr>
                <w:rFonts w:cs="Times New Roman"/>
                <w:kern w:val="24"/>
                <w:szCs w:val="24"/>
              </w:rPr>
              <w:t>None</w:t>
            </w:r>
          </w:p>
        </w:tc>
        <w:tc>
          <w:tcPr>
            <w:tcW w:w="2138" w:type="dxa"/>
            <w:vAlign w:val="center"/>
          </w:tcPr>
          <w:p w14:paraId="778AE9C7" w14:textId="77777777" w:rsidR="00B02F67" w:rsidRPr="004154FE" w:rsidRDefault="00B02F67" w:rsidP="00A6468A">
            <w:pPr>
              <w:spacing w:line="480" w:lineRule="auto"/>
              <w:jc w:val="left"/>
              <w:rPr>
                <w:rFonts w:cs="Times New Roman"/>
                <w:szCs w:val="24"/>
              </w:rPr>
            </w:pPr>
            <w:r w:rsidRPr="004154FE">
              <w:rPr>
                <w:rFonts w:cs="Times New Roman"/>
                <w:kern w:val="24"/>
                <w:szCs w:val="24"/>
              </w:rPr>
              <w:t>&lt;25 TPY</w:t>
            </w:r>
          </w:p>
        </w:tc>
      </w:tr>
      <w:tr w:rsidR="00B02F67" w:rsidRPr="00E0214F" w14:paraId="7B5C27C9" w14:textId="77777777" w:rsidTr="00A6468A">
        <w:trPr>
          <w:trHeight w:val="50"/>
        </w:trPr>
        <w:tc>
          <w:tcPr>
            <w:tcW w:w="1987" w:type="dxa"/>
            <w:hideMark/>
          </w:tcPr>
          <w:p w14:paraId="160713DA" w14:textId="77777777" w:rsidR="00B02F67" w:rsidRPr="00E0214F" w:rsidRDefault="00B02F67" w:rsidP="00A6468A">
            <w:pPr>
              <w:spacing w:line="480" w:lineRule="auto"/>
              <w:jc w:val="left"/>
              <w:rPr>
                <w:bCs/>
              </w:rPr>
            </w:pPr>
            <w:r w:rsidRPr="00E0214F">
              <w:rPr>
                <w:bCs/>
              </w:rPr>
              <w:t>Quarterly</w:t>
            </w:r>
          </w:p>
        </w:tc>
        <w:tc>
          <w:tcPr>
            <w:tcW w:w="1968" w:type="dxa"/>
            <w:hideMark/>
          </w:tcPr>
          <w:p w14:paraId="28915196" w14:textId="77777777" w:rsidR="00B02F67" w:rsidRPr="00E0214F" w:rsidRDefault="00B02F67" w:rsidP="00A6468A">
            <w:pPr>
              <w:spacing w:line="480" w:lineRule="auto"/>
              <w:jc w:val="left"/>
              <w:rPr>
                <w:bCs/>
              </w:rPr>
            </w:pPr>
            <w:r w:rsidRPr="00E0214F">
              <w:rPr>
                <w:bCs/>
              </w:rPr>
              <w:t>=&gt;5 TPY or</w:t>
            </w:r>
            <w:r>
              <w:rPr>
                <w:bCs/>
              </w:rPr>
              <w:t xml:space="preserve"> </w:t>
            </w:r>
            <w:r w:rsidRPr="00E0214F">
              <w:rPr>
                <w:bCs/>
              </w:rPr>
              <w:t>more</w:t>
            </w:r>
          </w:p>
        </w:tc>
        <w:tc>
          <w:tcPr>
            <w:tcW w:w="2070" w:type="dxa"/>
            <w:hideMark/>
          </w:tcPr>
          <w:p w14:paraId="69F3B497" w14:textId="77777777" w:rsidR="00B02F67" w:rsidRPr="00E0214F" w:rsidRDefault="00B02F67" w:rsidP="00A6468A">
            <w:pPr>
              <w:spacing w:line="480" w:lineRule="auto"/>
              <w:jc w:val="left"/>
              <w:rPr>
                <w:bCs/>
              </w:rPr>
            </w:pPr>
            <w:r w:rsidRPr="00E0214F">
              <w:rPr>
                <w:bCs/>
              </w:rPr>
              <w:t>=&gt;25 TPY or more</w:t>
            </w:r>
          </w:p>
        </w:tc>
        <w:tc>
          <w:tcPr>
            <w:tcW w:w="1552" w:type="dxa"/>
            <w:vAlign w:val="center"/>
          </w:tcPr>
          <w:p w14:paraId="45640189" w14:textId="77777777" w:rsidR="00B02F67" w:rsidRPr="004154FE" w:rsidRDefault="00B02F67" w:rsidP="00A6468A">
            <w:pPr>
              <w:spacing w:line="480" w:lineRule="auto"/>
              <w:jc w:val="left"/>
              <w:rPr>
                <w:rFonts w:cs="Times New Roman"/>
                <w:szCs w:val="24"/>
              </w:rPr>
            </w:pPr>
            <w:r w:rsidRPr="004154FE">
              <w:rPr>
                <w:rFonts w:cs="Times New Roman"/>
                <w:kern w:val="24"/>
                <w:szCs w:val="24"/>
              </w:rPr>
              <w:t>&lt;25 TPY</w:t>
            </w:r>
          </w:p>
        </w:tc>
        <w:tc>
          <w:tcPr>
            <w:tcW w:w="2138" w:type="dxa"/>
            <w:vAlign w:val="center"/>
          </w:tcPr>
          <w:p w14:paraId="289BC833" w14:textId="77777777" w:rsidR="00B02F67" w:rsidRPr="004154FE" w:rsidRDefault="00B02F67" w:rsidP="00A6468A">
            <w:pPr>
              <w:spacing w:line="480" w:lineRule="auto"/>
              <w:jc w:val="left"/>
              <w:rPr>
                <w:rFonts w:cs="Times New Roman"/>
                <w:szCs w:val="24"/>
              </w:rPr>
            </w:pPr>
            <w:r w:rsidRPr="004154FE">
              <w:rPr>
                <w:rFonts w:cs="Times New Roman"/>
                <w:kern w:val="24"/>
                <w:szCs w:val="24"/>
              </w:rPr>
              <w:t>=&gt;25 TPY</w:t>
            </w:r>
          </w:p>
        </w:tc>
      </w:tr>
      <w:tr w:rsidR="00B02F67" w:rsidRPr="00E0214F" w14:paraId="170058BC" w14:textId="77777777" w:rsidTr="00A6468A">
        <w:trPr>
          <w:trHeight w:val="50"/>
        </w:trPr>
        <w:tc>
          <w:tcPr>
            <w:tcW w:w="1987" w:type="dxa"/>
          </w:tcPr>
          <w:p w14:paraId="196F535E" w14:textId="77777777" w:rsidR="00B02F67" w:rsidRPr="00E0214F" w:rsidRDefault="00B02F67" w:rsidP="00A6468A">
            <w:pPr>
              <w:spacing w:line="480" w:lineRule="auto"/>
              <w:jc w:val="left"/>
              <w:rPr>
                <w:bCs/>
              </w:rPr>
            </w:pPr>
            <w:r>
              <w:rPr>
                <w:bCs/>
              </w:rPr>
              <w:t>Monthly</w:t>
            </w:r>
          </w:p>
        </w:tc>
        <w:tc>
          <w:tcPr>
            <w:tcW w:w="1968" w:type="dxa"/>
          </w:tcPr>
          <w:p w14:paraId="5EDDEEAD" w14:textId="77777777" w:rsidR="00B02F67" w:rsidRPr="00E0214F" w:rsidRDefault="00B02F67" w:rsidP="00A6468A">
            <w:pPr>
              <w:spacing w:line="480" w:lineRule="auto"/>
              <w:jc w:val="left"/>
              <w:rPr>
                <w:bCs/>
              </w:rPr>
            </w:pPr>
            <w:r w:rsidRPr="004154FE">
              <w:rPr>
                <w:rFonts w:cs="Times New Roman"/>
                <w:kern w:val="24"/>
                <w:szCs w:val="24"/>
              </w:rPr>
              <w:t>None</w:t>
            </w:r>
          </w:p>
        </w:tc>
        <w:tc>
          <w:tcPr>
            <w:tcW w:w="2070" w:type="dxa"/>
          </w:tcPr>
          <w:p w14:paraId="031A3F2A" w14:textId="77777777" w:rsidR="00B02F67" w:rsidRPr="00E0214F" w:rsidRDefault="00B02F67" w:rsidP="00A6468A">
            <w:pPr>
              <w:spacing w:line="480" w:lineRule="auto"/>
              <w:jc w:val="left"/>
              <w:rPr>
                <w:bCs/>
              </w:rPr>
            </w:pPr>
            <w:r w:rsidRPr="004154FE">
              <w:rPr>
                <w:rFonts w:cs="Times New Roman"/>
                <w:kern w:val="24"/>
                <w:szCs w:val="24"/>
              </w:rPr>
              <w:t>None</w:t>
            </w:r>
          </w:p>
        </w:tc>
        <w:tc>
          <w:tcPr>
            <w:tcW w:w="1552" w:type="dxa"/>
            <w:vAlign w:val="center"/>
          </w:tcPr>
          <w:p w14:paraId="20F5D958" w14:textId="77777777" w:rsidR="00B02F67" w:rsidRPr="004154FE" w:rsidRDefault="00B02F67" w:rsidP="00A6468A">
            <w:pPr>
              <w:spacing w:line="480" w:lineRule="auto"/>
              <w:jc w:val="left"/>
              <w:rPr>
                <w:rFonts w:cs="Times New Roman"/>
                <w:szCs w:val="24"/>
              </w:rPr>
            </w:pPr>
            <w:r w:rsidRPr="004154FE">
              <w:rPr>
                <w:rFonts w:cs="Times New Roman"/>
                <w:kern w:val="24"/>
                <w:szCs w:val="24"/>
              </w:rPr>
              <w:t>=&gt;25 TPY</w:t>
            </w:r>
          </w:p>
        </w:tc>
        <w:tc>
          <w:tcPr>
            <w:tcW w:w="2138" w:type="dxa"/>
            <w:vAlign w:val="center"/>
          </w:tcPr>
          <w:p w14:paraId="129FC975" w14:textId="77777777" w:rsidR="00B02F67" w:rsidRPr="004154FE" w:rsidRDefault="00B02F67" w:rsidP="00A6468A">
            <w:pPr>
              <w:spacing w:line="480" w:lineRule="auto"/>
              <w:jc w:val="left"/>
              <w:rPr>
                <w:rFonts w:cs="Times New Roman"/>
                <w:szCs w:val="24"/>
              </w:rPr>
            </w:pPr>
            <w:r w:rsidRPr="004154FE">
              <w:rPr>
                <w:rFonts w:cs="Times New Roman"/>
                <w:kern w:val="24"/>
                <w:szCs w:val="24"/>
              </w:rPr>
              <w:t>None</w:t>
            </w:r>
          </w:p>
        </w:tc>
      </w:tr>
    </w:tbl>
    <w:p w14:paraId="0358E5DD" w14:textId="77777777" w:rsidR="00B02F67" w:rsidRDefault="00B02F67" w:rsidP="00B02F67">
      <w:pPr>
        <w:spacing w:after="0" w:line="480" w:lineRule="auto"/>
        <w:jc w:val="both"/>
        <w:rPr>
          <w:bCs/>
        </w:rPr>
      </w:pPr>
    </w:p>
    <w:p w14:paraId="0477004B" w14:textId="77777777" w:rsidR="00B02F67" w:rsidRDefault="00B02F67" w:rsidP="00B02F67">
      <w:pPr>
        <w:spacing w:after="0" w:line="480" w:lineRule="auto"/>
        <w:jc w:val="both"/>
        <w:rPr>
          <w:bCs/>
        </w:rPr>
      </w:pPr>
      <w:r>
        <w:rPr>
          <w:bCs/>
        </w:rPr>
        <w:tab/>
        <w:t xml:space="preserve">As is clear from these proposals, although NMOGA is not aligned with the department, NMOGA has nevertheless proposed an aggressive leak detection program. NMOGA’s proposal ultimately strikes a more appropriate balance. </w:t>
      </w:r>
    </w:p>
    <w:p w14:paraId="6452E8C7" w14:textId="77777777" w:rsidR="00B02F67" w:rsidRDefault="00B02F67" w:rsidP="00B02F67">
      <w:pPr>
        <w:spacing w:after="0" w:line="480" w:lineRule="auto"/>
        <w:ind w:firstLine="720"/>
        <w:jc w:val="both"/>
        <w:rPr>
          <w:bCs/>
        </w:rPr>
      </w:pPr>
      <w:r>
        <w:rPr>
          <w:bCs/>
        </w:rPr>
        <w:t xml:space="preserve">Mr. Smitherman’s testimony makes clear that most leaks are identified and repaired during initial surveys. NMED’s own data demonstrates that 40% of all emissions reductions from LDAR are achieved with annual surveys, 60% are achieved with semiannual surveys, and 80% are achieved with quarterly surveys. </w:t>
      </w:r>
      <w:r>
        <w:rPr>
          <w:bCs/>
          <w:i/>
          <w:iCs/>
        </w:rPr>
        <w:t xml:space="preserve">See </w:t>
      </w:r>
      <w:r>
        <w:rPr>
          <w:bCs/>
        </w:rPr>
        <w:t xml:space="preserve">NMOGA Exhibit 58, at 14. A study from the American Petroleum Institute consisting of 6,000 surveys across 3,482 sites also found less than 2 leaks per site during initial surveys, with the leak rate falling </w:t>
      </w:r>
      <w:r w:rsidRPr="00DA6A2D">
        <w:rPr>
          <w:bCs/>
        </w:rPr>
        <w:t>quickly to less than 1 leaking component on average in subsequent surveys.</w:t>
      </w:r>
      <w:r>
        <w:rPr>
          <w:bCs/>
        </w:rPr>
        <w:t xml:space="preserve"> </w:t>
      </w:r>
    </w:p>
    <w:p w14:paraId="5BB90896" w14:textId="77777777" w:rsidR="00B02F67" w:rsidRPr="000B0716" w:rsidRDefault="00B02F67" w:rsidP="00B02F67">
      <w:pPr>
        <w:spacing w:after="0" w:line="480" w:lineRule="auto"/>
        <w:ind w:firstLine="720"/>
        <w:rPr>
          <w:bCs/>
        </w:rPr>
      </w:pPr>
      <w:r w:rsidRPr="00A97FDA">
        <w:rPr>
          <w:bCs/>
        </w:rPr>
        <w:t xml:space="preserve">Although the </w:t>
      </w:r>
      <w:r>
        <w:rPr>
          <w:bCs/>
        </w:rPr>
        <w:t>quantity of leaks detected</w:t>
      </w:r>
      <w:r w:rsidRPr="00A97FDA">
        <w:rPr>
          <w:bCs/>
        </w:rPr>
        <w:t xml:space="preserve"> diminish with increased frequency, the per-survey cost of conducting LDAR remains relatively the same, meaning that less emissions per dollar are reduced with each </w:t>
      </w:r>
      <w:r>
        <w:rPr>
          <w:bCs/>
        </w:rPr>
        <w:t xml:space="preserve">additional </w:t>
      </w:r>
      <w:r w:rsidRPr="00A97FDA">
        <w:rPr>
          <w:bCs/>
        </w:rPr>
        <w:t>survey.</w:t>
      </w:r>
      <w:r>
        <w:rPr>
          <w:bCs/>
        </w:rPr>
        <w:t xml:space="preserve"> NMOGA’s technical testimony demonstrates the </w:t>
      </w:r>
      <w:r>
        <w:rPr>
          <w:bCs/>
        </w:rPr>
        <w:lastRenderedPageBreak/>
        <w:t>exorbitant incremental costs associated with increasing LDAR frequency. The following tables summarize the costs of transitioning from annual to semiannual (NMOGA Exhibit 58, at 46), annual to quarterly (NMOGA Exhibit 58, at 47), and semiannual to quarterly (NMOGA Exhibit 58, at 48) at well sites.</w:t>
      </w:r>
      <w:r w:rsidRPr="00691F34">
        <w:rPr>
          <w:noProof/>
        </w:rPr>
        <w:t xml:space="preserve"> </w:t>
      </w:r>
      <w:r>
        <w:rPr>
          <w:noProof/>
        </w:rPr>
        <w:drawing>
          <wp:inline distT="0" distB="0" distL="0" distR="0" wp14:anchorId="59F991DF" wp14:editId="565DFB84">
            <wp:extent cx="5943600" cy="1861820"/>
            <wp:effectExtent l="0" t="0" r="0" b="508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1861820"/>
                    </a:xfrm>
                    <a:prstGeom prst="rect">
                      <a:avLst/>
                    </a:prstGeom>
                  </pic:spPr>
                </pic:pic>
              </a:graphicData>
            </a:graphic>
          </wp:inline>
        </w:drawing>
      </w:r>
      <w:r>
        <w:rPr>
          <w:noProof/>
        </w:rPr>
        <w:drawing>
          <wp:inline distT="0" distB="0" distL="0" distR="0" wp14:anchorId="6E86D92E" wp14:editId="4646BEEF">
            <wp:extent cx="5943600" cy="1681480"/>
            <wp:effectExtent l="0" t="0" r="0"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43600" cy="1681480"/>
                    </a:xfrm>
                    <a:prstGeom prst="rect">
                      <a:avLst/>
                    </a:prstGeom>
                  </pic:spPr>
                </pic:pic>
              </a:graphicData>
            </a:graphic>
          </wp:inline>
        </w:drawing>
      </w:r>
    </w:p>
    <w:p w14:paraId="648B4AB7" w14:textId="77777777" w:rsidR="00B02F67" w:rsidRDefault="00B02F67" w:rsidP="00B02F67">
      <w:pPr>
        <w:rPr>
          <w:b/>
        </w:rPr>
      </w:pPr>
      <w:r>
        <w:rPr>
          <w:noProof/>
        </w:rPr>
        <w:drawing>
          <wp:inline distT="0" distB="0" distL="0" distR="0" wp14:anchorId="2317AF2B" wp14:editId="5EA7BE04">
            <wp:extent cx="5943600" cy="1644650"/>
            <wp:effectExtent l="0" t="0" r="0" b="0"/>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pic:nvPicPr>
                  <pic:blipFill>
                    <a:blip r:embed="rId13"/>
                    <a:stretch>
                      <a:fillRect/>
                    </a:stretch>
                  </pic:blipFill>
                  <pic:spPr>
                    <a:xfrm>
                      <a:off x="0" y="0"/>
                      <a:ext cx="5943600" cy="1644650"/>
                    </a:xfrm>
                    <a:prstGeom prst="rect">
                      <a:avLst/>
                    </a:prstGeom>
                  </pic:spPr>
                </pic:pic>
              </a:graphicData>
            </a:graphic>
          </wp:inline>
        </w:drawing>
      </w:r>
    </w:p>
    <w:p w14:paraId="4EBE41B8" w14:textId="77777777" w:rsidR="00B02F67" w:rsidRPr="00384EFF" w:rsidRDefault="00B02F67" w:rsidP="00B02F67">
      <w:pPr>
        <w:spacing w:after="0" w:line="480" w:lineRule="auto"/>
        <w:rPr>
          <w:bCs/>
        </w:rPr>
      </w:pPr>
      <w:r>
        <w:rPr>
          <w:bCs/>
        </w:rPr>
        <w:t>The following table illustrates the incremental costs of increased LDAR monitoring at gathering and boosting sites (NMOGA Exhibit 58, at 50):</w:t>
      </w:r>
    </w:p>
    <w:p w14:paraId="73EC179E" w14:textId="77777777" w:rsidR="00B02F67" w:rsidRDefault="00B02F67" w:rsidP="00B02F67">
      <w:pPr>
        <w:rPr>
          <w:b/>
        </w:rPr>
      </w:pPr>
      <w:r>
        <w:rPr>
          <w:noProof/>
        </w:rPr>
        <w:lastRenderedPageBreak/>
        <w:drawing>
          <wp:inline distT="0" distB="0" distL="0" distR="0" wp14:anchorId="64317E89" wp14:editId="59D03ADD">
            <wp:extent cx="5919215" cy="2330450"/>
            <wp:effectExtent l="0" t="0" r="5715" b="0"/>
            <wp:docPr id="5" name="Picture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pic:cNvPicPr/>
                  </pic:nvPicPr>
                  <pic:blipFill rotWithShape="1">
                    <a:blip r:embed="rId14"/>
                    <a:srcRect l="535" t="2114" r="961" b="1982"/>
                    <a:stretch/>
                  </pic:blipFill>
                  <pic:spPr bwMode="auto">
                    <a:xfrm>
                      <a:off x="0" y="0"/>
                      <a:ext cx="5924432" cy="2332504"/>
                    </a:xfrm>
                    <a:prstGeom prst="rect">
                      <a:avLst/>
                    </a:prstGeom>
                    <a:ln>
                      <a:noFill/>
                    </a:ln>
                    <a:extLst>
                      <a:ext uri="{53640926-AAD7-44D8-BBD7-CCE9431645EC}">
                        <a14:shadowObscured xmlns:a14="http://schemas.microsoft.com/office/drawing/2010/main"/>
                      </a:ext>
                    </a:extLst>
                  </pic:spPr>
                </pic:pic>
              </a:graphicData>
            </a:graphic>
          </wp:inline>
        </w:drawing>
      </w:r>
    </w:p>
    <w:p w14:paraId="4352F831" w14:textId="77777777" w:rsidR="00B02F67" w:rsidRDefault="00B02F67" w:rsidP="00B02F67">
      <w:pPr>
        <w:spacing w:after="0" w:line="480" w:lineRule="auto"/>
        <w:ind w:firstLine="720"/>
      </w:pPr>
      <w:r>
        <w:rPr>
          <w:bCs/>
        </w:rPr>
        <w:t>As this analysis demonstrates, increasing LDAR frequency achieves minimal emissions reductions relative to the costs incurred. For well sites, NMOGA’s analysis uses NMED’s own data, except that NMOGA has used a different model plant. As discussed in Mr. Smitherman’s testimony</w:t>
      </w:r>
      <w:r>
        <w:t xml:space="preserve">, a model plant is a statistically average facility commonly used in rulemaking efforts to quantify costs and emissions reductions associated with a proposal. In the leak detection context, the goal of a model plant is to estimate the average population of potentially leaking components at a given facility type. Roughly speaking, constructing a model plant involves gathering data on the number of potentially leaking equipment and components at facilities to derive an average component count. An emissions estimate is then derived by multiplying the component count by the leaking component emissions factor. </w:t>
      </w:r>
    </w:p>
    <w:p w14:paraId="610849F0" w14:textId="77777777" w:rsidR="00B02F67" w:rsidRPr="00E5411E" w:rsidRDefault="00B02F67" w:rsidP="00B02F67">
      <w:pPr>
        <w:spacing w:after="0" w:line="480" w:lineRule="auto"/>
        <w:ind w:firstLine="720"/>
      </w:pPr>
      <w:r>
        <w:t xml:space="preserve">While NMED relied on well site model plant data from 1996 based on equipment surveys conducted outside of New Mexico, NMOGA relied on a model plant derived from data gathered from New Mexico oil and gas operators in 2019. NMOGA’s more recent and geographically relevant data came from EPA’s 2019 GHG report and showed that, on average, New Mexico sites have fewer pieces of equipment per site, fewer components per piece of equipment, and lower potential leak emissions than was observed in the 1996 study NMED has relied upon. Unlike adjustments to the well site model plant, NMOGA’s incremental analysis for well sites </w:t>
      </w:r>
      <w:r>
        <w:lastRenderedPageBreak/>
        <w:t xml:space="preserve">does not alter the cost data NMED relied upon, even though there is ample evidence in the record to suggest that NMED has underestimated such costs. Similarly, while NMED relied on gathering and boosting station model plant data </w:t>
      </w:r>
      <w:r w:rsidRPr="004A37EC">
        <w:t>derived from a</w:t>
      </w:r>
      <w:r>
        <w:t xml:space="preserve"> 1995 EPA/GRI study, NMOGA relied on a</w:t>
      </w:r>
      <w:r w:rsidRPr="004A37EC">
        <w:t xml:space="preserve"> 2019 Colorado State University study, which showed fewer equipment, fewer components, and lower potential leak emissions relative to NMED's data.</w:t>
      </w:r>
      <w:r>
        <w:t xml:space="preserve">  NMOGA Exhibit 28. </w:t>
      </w:r>
    </w:p>
    <w:p w14:paraId="160969BC" w14:textId="618547A5" w:rsidR="00B02F67" w:rsidRDefault="00B02F67" w:rsidP="00B02F67">
      <w:pPr>
        <w:spacing w:after="0" w:line="480" w:lineRule="auto"/>
        <w:ind w:firstLine="720"/>
        <w:rPr>
          <w:bCs/>
        </w:rPr>
      </w:pPr>
      <w:r>
        <w:rPr>
          <w:bCs/>
        </w:rPr>
        <w:t xml:space="preserve">As the Board may recall, several parties fought hard to keep NMOGA’s incremental LDAR analysis from being admitted into evidence. Nevertheless, since the incremental LDAR analysis has been admitted, its substantive conclusions have largely gone unrefuted. On rebuttal, NMED argued it could not evaluate the model plants because it did not understand how they were constructed. On surrebuttal, NMOGA countered that it provided the model plant data, and NMOGA applied the same methodology to construct its model plant that EPA applied in constructing the model plant upon which NMED relied. On surrebuttal, Mr. Palmer testified that the CTG does not direct states to conduct an incremental cost analysis, implying that such a review is not appropriate. </w:t>
      </w:r>
      <w:r w:rsidR="0006617C">
        <w:rPr>
          <w:bCs/>
        </w:rPr>
        <w:t>Tr. 8:</w:t>
      </w:r>
      <w:r>
        <w:rPr>
          <w:bCs/>
        </w:rPr>
        <w:t xml:space="preserve">2778:18-20. But Mr. Palmer does not take issue with the methodology or mathematical conclusions reached by Mr. Smitherman. And the fact that the CTG does not recommend an incremental cost analysis is of no consequence. The CTG is guidance and has no bearing on the factors the Board must consider in fulfilling its statutory duty under state law. The Board is obligated to consider the “economic reasonableness” of the proposals put before it. NMOGA’s uncontroverted incremental analysis establishes that the </w:t>
      </w:r>
      <w:r w:rsidR="00460976">
        <w:rPr>
          <w:bCs/>
        </w:rPr>
        <w:t>D</w:t>
      </w:r>
      <w:r>
        <w:rPr>
          <w:bCs/>
        </w:rPr>
        <w:t>epartment’s LDAR proposal is not economically reasonable and should not be adopted.</w:t>
      </w:r>
    </w:p>
    <w:p w14:paraId="022A1A35" w14:textId="77777777" w:rsidR="00B02F67" w:rsidRPr="00F95323" w:rsidRDefault="00B02F67" w:rsidP="00B02F67">
      <w:pPr>
        <w:spacing w:after="0" w:line="480" w:lineRule="auto"/>
        <w:ind w:firstLine="720"/>
        <w:rPr>
          <w:bCs/>
        </w:rPr>
      </w:pPr>
      <w:r>
        <w:rPr>
          <w:bCs/>
        </w:rPr>
        <w:t xml:space="preserve">This does not mean that NMOGA believes that no LDAR requirements should be adopted.  Instead, NMOGA believes that the frequencies and thresholds it has provided in its comments represent a more reasonable way of attaining VOC reductions at a less exorbitant cost. </w:t>
      </w:r>
    </w:p>
    <w:p w14:paraId="243C0C9E" w14:textId="77777777" w:rsidR="00B02F67" w:rsidRPr="00661096" w:rsidRDefault="00B02F67" w:rsidP="00661096">
      <w:pPr>
        <w:pStyle w:val="Heading3"/>
      </w:pPr>
      <w:bookmarkStart w:id="12" w:name="_Toc93563256"/>
      <w:r w:rsidRPr="00661096">
        <w:lastRenderedPageBreak/>
        <w:t>The Board Should Reject the Proximity LDAR Proposal Because It Is Beyond the Scope of This Rulemaking, Does Not Demonstrably Contribute to The Objective of Attaining and Maintaining the Primary Ozone Standard, and is Not Cost-Effective.</w:t>
      </w:r>
      <w:bookmarkEnd w:id="12"/>
    </w:p>
    <w:p w14:paraId="2EBCC711" w14:textId="511A7C9A" w:rsidR="00B02F67" w:rsidRDefault="00676A75" w:rsidP="00B02F67">
      <w:pPr>
        <w:spacing w:after="0" w:line="480" w:lineRule="auto"/>
        <w:ind w:firstLine="720"/>
        <w:jc w:val="both"/>
        <w:rPr>
          <w:bCs/>
        </w:rPr>
      </w:pPr>
      <w:r>
        <w:rPr>
          <w:bCs/>
        </w:rPr>
        <w:t>Ensuring attainment and maintenance of</w:t>
      </w:r>
      <w:r w:rsidR="00B02F67">
        <w:rPr>
          <w:bCs/>
        </w:rPr>
        <w:t xml:space="preserve"> the ozone standards is the statutorily prescribed objective of this rulemaking.</w:t>
      </w:r>
      <w:r w:rsidR="00B02F67">
        <w:rPr>
          <w:rStyle w:val="FootnoteReference"/>
          <w:bCs/>
        </w:rPr>
        <w:footnoteReference w:id="8"/>
      </w:r>
      <w:r w:rsidR="00B02F67">
        <w:rPr>
          <w:bCs/>
        </w:rPr>
        <w:t xml:space="preserve"> Per the statute, the rule ultimately adopted by the Board </w:t>
      </w:r>
      <w:r>
        <w:rPr>
          <w:bCs/>
        </w:rPr>
        <w:t xml:space="preserve">seeks to </w:t>
      </w:r>
      <w:r w:rsidR="00B02F67">
        <w:rPr>
          <w:bCs/>
        </w:rPr>
        <w:t xml:space="preserve">“provide for attainment and maintenance of the primary ozone NAAQS” set by EPA in </w:t>
      </w:r>
      <w:r w:rsidR="00B02F67" w:rsidRPr="00756F80">
        <w:rPr>
          <w:bCs/>
        </w:rPr>
        <w:t>area</w:t>
      </w:r>
      <w:r w:rsidR="00B02F67">
        <w:rPr>
          <w:bCs/>
        </w:rPr>
        <w:t>s</w:t>
      </w:r>
      <w:r w:rsidR="00B02F67" w:rsidRPr="00756F80">
        <w:rPr>
          <w:bCs/>
        </w:rPr>
        <w:t xml:space="preserve"> of the state </w:t>
      </w:r>
      <w:r w:rsidR="00B02F67">
        <w:rPr>
          <w:bCs/>
        </w:rPr>
        <w:t>“</w:t>
      </w:r>
      <w:r w:rsidR="00B02F67" w:rsidRPr="00756F80">
        <w:rPr>
          <w:bCs/>
        </w:rPr>
        <w:t>where the ozone concentrations exceed ninety-five percent</w:t>
      </w:r>
      <w:r w:rsidR="00B02F67">
        <w:rPr>
          <w:bCs/>
        </w:rPr>
        <w:t>” of the standard.</w:t>
      </w:r>
      <w:r w:rsidR="00B02F67" w:rsidRPr="007E48BC">
        <w:rPr>
          <w:bCs/>
        </w:rPr>
        <w:t xml:space="preserve"> </w:t>
      </w:r>
      <w:r w:rsidR="00B02F67">
        <w:rPr>
          <w:bCs/>
        </w:rPr>
        <w:t xml:space="preserve"> NMSA 1978, </w:t>
      </w:r>
      <w:r w:rsidR="00B02F67" w:rsidRPr="00C81165">
        <w:rPr>
          <w:rFonts w:cs="Times New Roman"/>
          <w:szCs w:val="24"/>
        </w:rPr>
        <w:t>§</w:t>
      </w:r>
      <w:r w:rsidR="00B02F67" w:rsidRPr="00AE7DAD">
        <w:rPr>
          <w:rFonts w:cs="Times New Roman"/>
          <w:szCs w:val="24"/>
        </w:rPr>
        <w:t xml:space="preserve"> </w:t>
      </w:r>
      <w:r w:rsidR="00B02F67">
        <w:rPr>
          <w:bCs/>
        </w:rPr>
        <w:t>74-2-</w:t>
      </w:r>
      <w:proofErr w:type="gramStart"/>
      <w:r w:rsidR="00B02F67">
        <w:rPr>
          <w:bCs/>
        </w:rPr>
        <w:t>5.C.</w:t>
      </w:r>
      <w:proofErr w:type="gramEnd"/>
      <w:r w:rsidR="00B02F67">
        <w:rPr>
          <w:bCs/>
        </w:rPr>
        <w:t xml:space="preserve"> The Board lacks authority to adopt any Department or stakeholder proposals that do not demonstrably contribute to this attainment and maintenance goal.  </w:t>
      </w:r>
    </w:p>
    <w:p w14:paraId="1B2DB477" w14:textId="3E0D0B37" w:rsidR="00B02F67" w:rsidRPr="004A6325" w:rsidRDefault="00B02F67" w:rsidP="00B02F67">
      <w:pPr>
        <w:spacing w:after="0" w:line="480" w:lineRule="auto"/>
        <w:ind w:firstLine="720"/>
        <w:rPr>
          <w:bCs/>
        </w:rPr>
      </w:pPr>
      <w:r>
        <w:rPr>
          <w:bCs/>
        </w:rPr>
        <w:t xml:space="preserve">This limitation is imposed by the statute itself. Under NMSA 1978, </w:t>
      </w:r>
      <w:r w:rsidRPr="00C81165">
        <w:rPr>
          <w:rFonts w:cs="Times New Roman"/>
          <w:szCs w:val="24"/>
        </w:rPr>
        <w:t>§</w:t>
      </w:r>
      <w:r w:rsidRPr="00AE7DAD">
        <w:rPr>
          <w:rFonts w:cs="Times New Roman"/>
          <w:szCs w:val="24"/>
        </w:rPr>
        <w:t xml:space="preserve"> </w:t>
      </w:r>
      <w:r>
        <w:rPr>
          <w:bCs/>
        </w:rPr>
        <w:t>74-2-5.C, the Board is authorized to adopt a plan, including rules, to control emissions of oxides of nitrogen and volatile organic compounds. However, this authority is limited those measures necessary “</w:t>
      </w:r>
      <w:r w:rsidRPr="000E4773">
        <w:rPr>
          <w:bCs/>
        </w:rPr>
        <w:t>to provide for attainment and maintenance of the standard.”</w:t>
      </w:r>
      <w:r>
        <w:rPr>
          <w:bCs/>
        </w:rPr>
        <w:t xml:space="preserve"> </w:t>
      </w:r>
      <w:r>
        <w:rPr>
          <w:bCs/>
          <w:i/>
          <w:iCs/>
        </w:rPr>
        <w:t xml:space="preserve">Id. </w:t>
      </w:r>
      <w:r>
        <w:rPr>
          <w:bCs/>
        </w:rPr>
        <w:t xml:space="preserve">Consequently, proposals that call for control of air toxics, for example, in ways that have nothing to do with mitigating ozone are not within the Board’s authority in this rulemaking. While the Board may adopt standards that have co-benefits, such as NOx emissions limits for engines that also reduce hazardous air pollutant emissions, a proposal must provide a demonstrable benefit towards attaining or maintaining the primary ozone standard. If a proposal does not, it is not made “to provide for attainment and maintenance of the standard,” and it is beyond the scope of Board’s authority under NMSA 1978, </w:t>
      </w:r>
      <w:r w:rsidRPr="00C81165">
        <w:rPr>
          <w:rFonts w:cs="Times New Roman"/>
          <w:szCs w:val="24"/>
        </w:rPr>
        <w:t>§</w:t>
      </w:r>
      <w:r>
        <w:rPr>
          <w:rFonts w:cs="Times New Roman"/>
          <w:szCs w:val="24"/>
        </w:rPr>
        <w:t> </w:t>
      </w:r>
      <w:r>
        <w:rPr>
          <w:bCs/>
        </w:rPr>
        <w:t xml:space="preserve">74-2-5.C. Put simply, the Board does not have authority to adopt standards </w:t>
      </w:r>
      <w:r>
        <w:rPr>
          <w:bCs/>
        </w:rPr>
        <w:lastRenderedPageBreak/>
        <w:t>that</w:t>
      </w:r>
      <w:r w:rsidRPr="0029688C">
        <w:rPr>
          <w:bCs/>
        </w:rPr>
        <w:t xml:space="preserve"> </w:t>
      </w:r>
      <w:r>
        <w:rPr>
          <w:bCs/>
        </w:rPr>
        <w:t xml:space="preserve">only provide </w:t>
      </w:r>
      <w:r w:rsidR="00676A75">
        <w:rPr>
          <w:bCs/>
        </w:rPr>
        <w:t xml:space="preserve">or primarily provide </w:t>
      </w:r>
      <w:r w:rsidR="00940759">
        <w:rPr>
          <w:bCs/>
        </w:rPr>
        <w:t xml:space="preserve">a benefit </w:t>
      </w:r>
      <w:r>
        <w:rPr>
          <w:bCs/>
        </w:rPr>
        <w:t xml:space="preserve">tangential to the primary target of the regulation, and allowing adoption of </w:t>
      </w:r>
      <w:r w:rsidR="00B24AF5">
        <w:rPr>
          <w:bCs/>
        </w:rPr>
        <w:t>such</w:t>
      </w:r>
      <w:r>
        <w:rPr>
          <w:bCs/>
        </w:rPr>
        <w:t xml:space="preserve"> rules would remove all effective limits on rulemaking authority.  Ms. Paranhos, representing EDF, conceded as much.  Tr. 8:1245:20-8:1246:2.</w:t>
      </w:r>
    </w:p>
    <w:p w14:paraId="4370F22D" w14:textId="1574241F" w:rsidR="00B02F67" w:rsidRDefault="00B02F67" w:rsidP="00B02F67">
      <w:pPr>
        <w:spacing w:after="0" w:line="480" w:lineRule="auto"/>
        <w:ind w:firstLine="720"/>
        <w:rPr>
          <w:bCs/>
        </w:rPr>
      </w:pPr>
      <w:r>
        <w:rPr>
          <w:bCs/>
        </w:rPr>
        <w:t>The Board is also limited to adopting rules that provide for the attainment and maintenance of the ozone standard because that is what Board’s public notice stated. Pursuant to NMSA</w:t>
      </w:r>
      <w:r w:rsidRPr="00D242CB">
        <w:rPr>
          <w:bCs/>
        </w:rPr>
        <w:t xml:space="preserve"> 1978, §</w:t>
      </w:r>
      <w:r>
        <w:rPr>
          <w:bCs/>
        </w:rPr>
        <w:t> 10-15-1, the Board must provide public notice announcing its intention to consider a petition by the Department to adopt rules addressing ozone. “C</w:t>
      </w:r>
      <w:r w:rsidRPr="00EE0F22">
        <w:rPr>
          <w:bCs/>
        </w:rPr>
        <w:t xml:space="preserve">ompliance with prescribed notice requirements is a prerequisite to any valid action by </w:t>
      </w:r>
      <w:r>
        <w:rPr>
          <w:bCs/>
        </w:rPr>
        <w:t>[the Board]</w:t>
      </w:r>
      <w:r w:rsidRPr="00EE0F22">
        <w:rPr>
          <w:bCs/>
        </w:rPr>
        <w:t xml:space="preserve">, and failure to give proper notice constitutes a jurisdictional defect rendering action of </w:t>
      </w:r>
      <w:r>
        <w:rPr>
          <w:bCs/>
        </w:rPr>
        <w:t>[the Board]</w:t>
      </w:r>
      <w:r w:rsidRPr="00EE0F22">
        <w:rPr>
          <w:bCs/>
        </w:rPr>
        <w:t xml:space="preserve"> null and void.</w:t>
      </w:r>
      <w:r>
        <w:rPr>
          <w:bCs/>
        </w:rPr>
        <w:t xml:space="preserve">” </w:t>
      </w:r>
      <w:r w:rsidRPr="00EE0F22">
        <w:rPr>
          <w:bCs/>
        </w:rPr>
        <w:t xml:space="preserve">N.M. </w:t>
      </w:r>
      <w:proofErr w:type="spellStart"/>
      <w:r w:rsidRPr="00EE0F22">
        <w:rPr>
          <w:bCs/>
        </w:rPr>
        <w:t>Att'y</w:t>
      </w:r>
      <w:proofErr w:type="spellEnd"/>
      <w:r w:rsidRPr="00EE0F22">
        <w:rPr>
          <w:bCs/>
        </w:rPr>
        <w:t xml:space="preserve"> Gen. Op. No. 90-29 (Dec. 20, 1990)</w:t>
      </w:r>
      <w:r>
        <w:rPr>
          <w:bCs/>
        </w:rPr>
        <w:t>. The public notice provided:</w:t>
      </w:r>
    </w:p>
    <w:p w14:paraId="5F0783FC" w14:textId="77777777" w:rsidR="00B02F67" w:rsidRDefault="00B02F67" w:rsidP="00B02F67">
      <w:pPr>
        <w:autoSpaceDE w:val="0"/>
        <w:autoSpaceDN w:val="0"/>
        <w:adjustRightInd w:val="0"/>
        <w:spacing w:after="0" w:line="240" w:lineRule="auto"/>
        <w:ind w:left="720" w:right="720"/>
        <w:rPr>
          <w:rFonts w:cs="Times New Roman"/>
          <w:szCs w:val="24"/>
        </w:rPr>
      </w:pPr>
      <w:r w:rsidRPr="00157F02">
        <w:rPr>
          <w:rFonts w:cs="Times New Roman"/>
          <w:szCs w:val="24"/>
        </w:rPr>
        <w:t xml:space="preserve">The purpose of the public hearing is for the Board to consider and take possible action on a petition by the New Mexico Environment Department (“NMED”) requesting the Board to adopt a plan, including proposed new regulations at 20.2.50 NMAC. The requested action is currently authorized pursuant to the New Mexico Air Quality Control Act, NMSA 1978, Section 74-2-5.3, which requires that the Board adopt a plan, including regulations, </w:t>
      </w:r>
      <w:r w:rsidRPr="00C63454">
        <w:rPr>
          <w:rFonts w:cs="Times New Roman"/>
          <w:szCs w:val="24"/>
          <w:u w:val="single"/>
        </w:rPr>
        <w:t>to ensure attainment and maintenance of the National Ambient Air Quality Standard (“NAAQS”) for ozone within areas of the State that have monitored ozone concentrations that exceed 95% of the NAAQS</w:t>
      </w:r>
      <w:r w:rsidRPr="00157F02">
        <w:rPr>
          <w:rFonts w:cs="Times New Roman"/>
          <w:szCs w:val="24"/>
        </w:rPr>
        <w:t xml:space="preserve">. </w:t>
      </w:r>
    </w:p>
    <w:p w14:paraId="3E5F3A02" w14:textId="77777777" w:rsidR="00B02F67" w:rsidRPr="00DD4C4F" w:rsidRDefault="00B02F67" w:rsidP="00B02F67">
      <w:pPr>
        <w:autoSpaceDE w:val="0"/>
        <w:autoSpaceDN w:val="0"/>
        <w:adjustRightInd w:val="0"/>
        <w:spacing w:after="0" w:line="240" w:lineRule="auto"/>
        <w:ind w:left="720" w:right="720"/>
        <w:rPr>
          <w:rFonts w:cs="Times New Roman"/>
          <w:szCs w:val="24"/>
        </w:rPr>
      </w:pPr>
    </w:p>
    <w:p w14:paraId="664121EF" w14:textId="77777777" w:rsidR="00B02F67" w:rsidRDefault="00B02F67" w:rsidP="00B02F67">
      <w:pPr>
        <w:spacing w:after="0" w:line="480" w:lineRule="auto"/>
        <w:jc w:val="both"/>
        <w:rPr>
          <w:bCs/>
        </w:rPr>
      </w:pPr>
      <w:r>
        <w:rPr>
          <w:bCs/>
          <w:i/>
          <w:iCs/>
        </w:rPr>
        <w:t xml:space="preserve">See </w:t>
      </w:r>
      <w:r>
        <w:rPr>
          <w:bCs/>
        </w:rPr>
        <w:t xml:space="preserve">NMED Exhibit 112 (emphases added).  As the public notice makes clear, the purpose of this rulemaking is </w:t>
      </w:r>
      <w:r>
        <w:rPr>
          <w:rFonts w:cs="Times New Roman"/>
          <w:szCs w:val="24"/>
        </w:rPr>
        <w:t>narrow—to</w:t>
      </w:r>
      <w:r w:rsidRPr="00157F02">
        <w:rPr>
          <w:rFonts w:cs="Times New Roman"/>
          <w:szCs w:val="24"/>
        </w:rPr>
        <w:t xml:space="preserve"> reduce emissions of ozone precursor pollutants</w:t>
      </w:r>
      <w:r>
        <w:rPr>
          <w:bCs/>
        </w:rPr>
        <w:t xml:space="preserve"> “</w:t>
      </w:r>
      <w:r w:rsidRPr="00EB39B9">
        <w:rPr>
          <w:bCs/>
          <w:i/>
          <w:iCs/>
        </w:rPr>
        <w:t xml:space="preserve">to </w:t>
      </w:r>
      <w:r>
        <w:rPr>
          <w:bCs/>
          <w:i/>
          <w:iCs/>
        </w:rPr>
        <w:t>ensure</w:t>
      </w:r>
      <w:r w:rsidRPr="00EB39B9">
        <w:rPr>
          <w:bCs/>
          <w:i/>
          <w:iCs/>
        </w:rPr>
        <w:t xml:space="preserve"> attainment and maintenance</w:t>
      </w:r>
      <w:r>
        <w:rPr>
          <w:bCs/>
        </w:rPr>
        <w:t xml:space="preserve">” of the standard. </w:t>
      </w:r>
      <w:r>
        <w:rPr>
          <w:rFonts w:cs="Times New Roman"/>
          <w:szCs w:val="24"/>
        </w:rPr>
        <w:t xml:space="preserve">While the Board has authority to otherwise undertake a rulemaking to reduce pollutants that have no bearing on NAAQS, such as regulation of hazardous air pollutants, such an undertaking is not described in the public notice and is not authorized under </w:t>
      </w:r>
      <w:r>
        <w:rPr>
          <w:bCs/>
        </w:rPr>
        <w:t xml:space="preserve">NMSA 1978, </w:t>
      </w:r>
      <w:r w:rsidRPr="00D242CB">
        <w:rPr>
          <w:bCs/>
        </w:rPr>
        <w:t>§</w:t>
      </w:r>
      <w:r>
        <w:rPr>
          <w:bCs/>
        </w:rPr>
        <w:t> 74-2-</w:t>
      </w:r>
      <w:proofErr w:type="gramStart"/>
      <w:r>
        <w:rPr>
          <w:bCs/>
        </w:rPr>
        <w:t>5.C.</w:t>
      </w:r>
      <w:proofErr w:type="gramEnd"/>
    </w:p>
    <w:p w14:paraId="6BBFCB67" w14:textId="77777777" w:rsidR="00B02F67" w:rsidRDefault="00B02F67" w:rsidP="00B02F67">
      <w:pPr>
        <w:spacing w:after="0" w:line="480" w:lineRule="auto"/>
        <w:ind w:firstLine="720"/>
        <w:jc w:val="both"/>
        <w:rPr>
          <w:bCs/>
        </w:rPr>
      </w:pPr>
      <w:r>
        <w:rPr>
          <w:bCs/>
        </w:rPr>
        <w:t xml:space="preserve">Clean Air Advocates, EDF, and others have urged the Board to require leak detection monitoring at well sites within 1,000 feet of an occupied area on a quarterly basis where sites have </w:t>
      </w:r>
      <w:r>
        <w:rPr>
          <w:bCs/>
        </w:rPr>
        <w:lastRenderedPageBreak/>
        <w:t xml:space="preserve">a PTE less than 5 </w:t>
      </w:r>
      <w:proofErr w:type="spellStart"/>
      <w:r>
        <w:rPr>
          <w:bCs/>
        </w:rPr>
        <w:t>tpy</w:t>
      </w:r>
      <w:proofErr w:type="spellEnd"/>
      <w:r>
        <w:rPr>
          <w:bCs/>
        </w:rPr>
        <w:t xml:space="preserve"> VOC and monthly where sites have a PTE equal to or greater than 5 </w:t>
      </w:r>
      <w:proofErr w:type="spellStart"/>
      <w:r>
        <w:rPr>
          <w:bCs/>
        </w:rPr>
        <w:t>tpy</w:t>
      </w:r>
      <w:proofErr w:type="spellEnd"/>
      <w:r>
        <w:rPr>
          <w:bCs/>
        </w:rPr>
        <w:t xml:space="preserve"> VOC. </w:t>
      </w:r>
      <w:r>
        <w:rPr>
          <w:bCs/>
          <w:i/>
          <w:iCs/>
        </w:rPr>
        <w:t xml:space="preserve">See </w:t>
      </w:r>
      <w:r>
        <w:rPr>
          <w:bCs/>
        </w:rPr>
        <w:t xml:space="preserve">CAA, Exhibit 22, at 17.  After extensive testimony on this issue, the Department signaled its support. Mr. Smitherman, on behalf of NMOGA, also testified that NMOGA would support weekly AVOs and quarterly Method 21 or OGI, as opposed to the monthly inspections. Other industry stakeholders did not endorse more frequent LDAR for well sites near occupied areas. </w:t>
      </w:r>
    </w:p>
    <w:p w14:paraId="37EB18BE" w14:textId="239A810C" w:rsidR="00B02F67" w:rsidRDefault="00B02F67" w:rsidP="00B02F67">
      <w:pPr>
        <w:spacing w:after="0" w:line="480" w:lineRule="auto"/>
        <w:ind w:firstLine="720"/>
        <w:jc w:val="both"/>
        <w:rPr>
          <w:bCs/>
        </w:rPr>
      </w:pPr>
      <w:r>
        <w:rPr>
          <w:bCs/>
        </w:rPr>
        <w:t xml:space="preserve">While this proposal has been endorsed by the NMED and others, after fuller consideration of the evidence adduced in support of the proposal and consideration of NMSA 1978, § 74-2-5, NMOGA respectfully disagrees that the Board has authority to adopt such a rule given the evidentiary record before it. Increasing LDAR within one-thousand feet of an occupied area has no relationship to reducing ozone concentrations for those targeted locales. Instead, as Ms. Lee Ann Hill, witness for </w:t>
      </w:r>
      <w:r w:rsidR="00A1774D">
        <w:rPr>
          <w:bCs/>
        </w:rPr>
        <w:t xml:space="preserve">Clean Air Advocates </w:t>
      </w:r>
      <w:r>
        <w:rPr>
          <w:bCs/>
        </w:rPr>
        <w:t xml:space="preserve">testified, the concern driving the LDAR proximity proposal is the direct emissions of VOCs and hazardous air pollutants, not the secondary ozone that may form as the results of these direct emissions. </w:t>
      </w:r>
      <w:r>
        <w:rPr>
          <w:bCs/>
          <w:i/>
          <w:iCs/>
        </w:rPr>
        <w:t xml:space="preserve">See </w:t>
      </w:r>
      <w:r w:rsidR="0006617C">
        <w:rPr>
          <w:bCs/>
        </w:rPr>
        <w:t>Tr. 9:</w:t>
      </w:r>
      <w:r>
        <w:rPr>
          <w:bCs/>
        </w:rPr>
        <w:t xml:space="preserve">2847:21-25 – 2849:1-6. When questioned about whether ozone would form within 1,000 feet of the wellhead, Ms. Hill testified that she had “not personally evaluated ozone formation given particular distances from oil and gas sites.” </w:t>
      </w:r>
      <w:r>
        <w:rPr>
          <w:bCs/>
          <w:i/>
          <w:iCs/>
        </w:rPr>
        <w:t xml:space="preserve">See </w:t>
      </w:r>
      <w:r>
        <w:rPr>
          <w:bCs/>
        </w:rPr>
        <w:t xml:space="preserve">Vol. 9, 2848:15-21. Other witnesses questioned on this point failed to provide any testimony, let alone evidence, that ozone formation within 1,000 feet of a well site is occurring or will be prevented by the implementation of this standard in a way that will ensure attainment and maintenance of the primary standard. </w:t>
      </w:r>
      <w:r>
        <w:rPr>
          <w:bCs/>
          <w:i/>
          <w:iCs/>
        </w:rPr>
        <w:t xml:space="preserve">See, e.g., </w:t>
      </w:r>
      <w:r>
        <w:rPr>
          <w:bCs/>
        </w:rPr>
        <w:t xml:space="preserve">Vol. 8, 2730:4-25 – 2735:1-11. As CDG witness, Ms. Lori Marquez testified, “ozone is a regional pollutant,” and “technical work performed by EPA demonstrates that individual minor sources in New Mexico [such as well head sites subject to the proximity proposal] do not cause or contribute to ozone NAAQS violations.” Testimony of </w:t>
      </w:r>
      <w:r>
        <w:rPr>
          <w:bCs/>
        </w:rPr>
        <w:lastRenderedPageBreak/>
        <w:t xml:space="preserve">Lori Marquez, Tr. 5:1476:15-19. The purpose of this rulemaking is to ensure attainment and maintenance on a large scale—in counties and groups of counties. </w:t>
      </w:r>
    </w:p>
    <w:p w14:paraId="51210145" w14:textId="79555D48" w:rsidR="00B02F67" w:rsidRDefault="00B02F67" w:rsidP="00B02F67">
      <w:pPr>
        <w:spacing w:after="0" w:line="480" w:lineRule="auto"/>
        <w:ind w:firstLine="720"/>
        <w:jc w:val="both"/>
        <w:rPr>
          <w:bCs/>
        </w:rPr>
      </w:pPr>
      <w:r>
        <w:rPr>
          <w:bCs/>
        </w:rPr>
        <w:t>Because the LDAR proximity proposal has no federal corollary, it is more stringent than federal requirements and triggers the heightened substantial evidence standard in NMSA</w:t>
      </w:r>
      <w:r w:rsidRPr="00D242CB">
        <w:rPr>
          <w:bCs/>
        </w:rPr>
        <w:t xml:space="preserve"> 1978, §</w:t>
      </w:r>
      <w:r>
        <w:rPr>
          <w:bCs/>
        </w:rPr>
        <w:t> 74-2-</w:t>
      </w:r>
      <w:proofErr w:type="gramStart"/>
      <w:r>
        <w:rPr>
          <w:bCs/>
        </w:rPr>
        <w:t>5.G.</w:t>
      </w:r>
      <w:proofErr w:type="gramEnd"/>
      <w:r>
        <w:rPr>
          <w:bCs/>
        </w:rPr>
        <w:t xml:space="preserve"> Given that the record contains no evidence that secondary ozone is forming within 1,000 feet of a wellhead, the Board has no evidence upon which to conclude the standard is more protective of the primary benefits targeted by this rulemaking—ozone reductions. Although the record contains evidence that the LDAR proximity proposal may be more protective in a general sense, that is not sufficient</w:t>
      </w:r>
      <w:r w:rsidR="001C13CE">
        <w:rPr>
          <w:bCs/>
        </w:rPr>
        <w:t xml:space="preserve"> to satisfy the statutory standard for this rulemaking</w:t>
      </w:r>
      <w:r>
        <w:rPr>
          <w:bCs/>
        </w:rPr>
        <w:t xml:space="preserve">. The statutory authority for this rulemaking and the public notice provided do not contemplate regulation of direct emissions for purposes unrelated to ozone formation. Adopting such standards on this basis as part of this rulemaking would deprive the public of fair notice and exceed the operative statutory authority. </w:t>
      </w:r>
    </w:p>
    <w:p w14:paraId="7A3AA282" w14:textId="18F4E280" w:rsidR="00B02F67" w:rsidRDefault="00B02F67" w:rsidP="00B02F67">
      <w:pPr>
        <w:spacing w:after="0" w:line="480" w:lineRule="auto"/>
        <w:ind w:firstLine="720"/>
        <w:rPr>
          <w:bCs/>
        </w:rPr>
      </w:pPr>
      <w:r>
        <w:rPr>
          <w:bCs/>
        </w:rPr>
        <w:t xml:space="preserve"> If </w:t>
      </w:r>
      <w:r w:rsidR="00B55D9F">
        <w:rPr>
          <w:bCs/>
        </w:rPr>
        <w:t>the</w:t>
      </w:r>
      <w:r>
        <w:rPr>
          <w:bCs/>
        </w:rPr>
        <w:t xml:space="preserve"> Board determines against this weight of evidence that it has authority and has provided sufficient notice, the Board should not adopt any standard more stringent than NMOGA’s good faith offer to conduct weekly audio, visual, olfactory (“AVO”) inspections and quarterly Method 21 or OGI monitoring within 1,000 feet of an occupied </w:t>
      </w:r>
      <w:proofErr w:type="gramStart"/>
      <w:r>
        <w:rPr>
          <w:bCs/>
        </w:rPr>
        <w:t>area..</w:t>
      </w:r>
      <w:proofErr w:type="gramEnd"/>
      <w:r w:rsidR="000205B1">
        <w:rPr>
          <w:rStyle w:val="FootnoteReference"/>
          <w:bCs/>
        </w:rPr>
        <w:footnoteReference w:id="9"/>
      </w:r>
      <w:r>
        <w:rPr>
          <w:bCs/>
        </w:rPr>
        <w:t xml:space="preserve"> As Mr. Smitherman testified, increasing LDAR frequency yields diminishing returns. As Member Honker noted, most of the emissions reductions from LDAR come from the first few cycles of conducting the survey. Although emissions available for reduction decrease the more frequently surveys are conducted, the primary cost driver of conducting LDAR—the survey itself—remains </w:t>
      </w:r>
      <w:r>
        <w:rPr>
          <w:bCs/>
        </w:rPr>
        <w:lastRenderedPageBreak/>
        <w:t>the same. As such, the more frequently LDAR is conducted, the less frequently leaks are identified, the less emissions there are to prevent, and the less cost-effective the entire exercise becomes. This fact becomes especially apparent when reviewing the incremental cost-effectiveness of conducting LDAR. Consider the cost effectiveness of moving from semiannual to quarterly LDAR surveys:</w:t>
      </w:r>
      <w:r w:rsidRPr="001D7D81">
        <w:rPr>
          <w:noProof/>
        </w:rPr>
        <w:t xml:space="preserve"> </w:t>
      </w:r>
      <w:r>
        <w:rPr>
          <w:noProof/>
        </w:rPr>
        <w:drawing>
          <wp:inline distT="0" distB="0" distL="0" distR="0" wp14:anchorId="246F1C1C" wp14:editId="55962042">
            <wp:extent cx="5943600" cy="1632585"/>
            <wp:effectExtent l="0" t="0" r="0" b="5715"/>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1632585"/>
                    </a:xfrm>
                    <a:prstGeom prst="rect">
                      <a:avLst/>
                    </a:prstGeom>
                  </pic:spPr>
                </pic:pic>
              </a:graphicData>
            </a:graphic>
          </wp:inline>
        </w:drawing>
      </w:r>
    </w:p>
    <w:p w14:paraId="36794B64" w14:textId="77777777" w:rsidR="00B02F67" w:rsidRDefault="00B02F67" w:rsidP="00B02F67">
      <w:pPr>
        <w:spacing w:before="240" w:after="0" w:line="480" w:lineRule="auto"/>
        <w:rPr>
          <w:bCs/>
        </w:rPr>
      </w:pPr>
      <w:r>
        <w:rPr>
          <w:bCs/>
        </w:rPr>
        <w:t>NMOGA Exhibit 58, at 48.</w:t>
      </w:r>
    </w:p>
    <w:p w14:paraId="664E0009" w14:textId="77777777" w:rsidR="00B02F67" w:rsidRDefault="00B02F67" w:rsidP="00B02F67">
      <w:pPr>
        <w:spacing w:before="240" w:after="0" w:line="480" w:lineRule="auto"/>
        <w:ind w:firstLine="720"/>
        <w:rPr>
          <w:bCs/>
        </w:rPr>
      </w:pPr>
      <w:r>
        <w:rPr>
          <w:bCs/>
        </w:rPr>
        <w:t xml:space="preserve">While the costs are excessive for natural gas well sites, they are astronomical for oil well sites. Mr. Smitherman conducted additional analysis on the costs of transitioning from quarterly to monthly LDAR consistent with the LDAR proximity proposal, but this is analysis is contained in the proffered materials for which Board has yet to issue a ruling. But the Board can draw its own conclusions from the evidence already in the record: if transitioning from twice a year to four times a year is not cost-effective, transitioning from four times a year to twelve times a year is also not cost-effective. </w:t>
      </w:r>
    </w:p>
    <w:p w14:paraId="596448C3" w14:textId="77777777" w:rsidR="00B02F67" w:rsidRPr="007F51DD" w:rsidRDefault="00B02F67" w:rsidP="00B02F67">
      <w:pPr>
        <w:spacing w:after="0" w:line="480" w:lineRule="auto"/>
        <w:ind w:firstLine="720"/>
        <w:rPr>
          <w:bCs/>
        </w:rPr>
      </w:pPr>
      <w:r>
        <w:rPr>
          <w:bCs/>
        </w:rPr>
        <w:t xml:space="preserve">Because the rationale for increasing LDAR near well sites is not targeted at the ozone problem, the Board lacks authority to adopt this proposal as part of this rulemaking. While the Board may have authority to adopt such a proposal in a properly noticed public hearing </w:t>
      </w:r>
      <w:r>
        <w:rPr>
          <w:bCs/>
        </w:rPr>
        <w:lastRenderedPageBreak/>
        <w:t xml:space="preserve">addressing this issue, that is not the case here, where the statutory basis and public notice only contemplate measures to address ozone. </w:t>
      </w:r>
    </w:p>
    <w:p w14:paraId="77484577" w14:textId="05A219CD" w:rsidR="00B02F67" w:rsidRPr="00661096" w:rsidRDefault="00B02F67" w:rsidP="00661096">
      <w:pPr>
        <w:pStyle w:val="Heading2"/>
      </w:pPr>
      <w:bookmarkStart w:id="13" w:name="_Toc93563257"/>
      <w:r w:rsidRPr="00661096">
        <w:t xml:space="preserve">Hydrocarbon Liquid Transfers, 20.2.50.120 NMAC. The Board </w:t>
      </w:r>
      <w:r w:rsidR="00C13D4D" w:rsidRPr="00661096">
        <w:t>S</w:t>
      </w:r>
      <w:r w:rsidRPr="00661096">
        <w:t>hould Adopt the Department’s Latest Redline with Minor Revisions Because the Proposal Incorporates Several Changes Consistent with the Board’s Obligation to Consider the “Technical Practicability and Economic Reasonableness” of Its Rules.</w:t>
      </w:r>
      <w:bookmarkEnd w:id="13"/>
    </w:p>
    <w:p w14:paraId="2A9DE443" w14:textId="7075E8B3" w:rsidR="00B02F67" w:rsidRPr="006735D9" w:rsidRDefault="00B02F67" w:rsidP="00B02F67">
      <w:pPr>
        <w:spacing w:after="0" w:line="480" w:lineRule="auto"/>
        <w:ind w:firstLine="720"/>
        <w:rPr>
          <w:rFonts w:cs="Times New Roman"/>
          <w:szCs w:val="24"/>
        </w:rPr>
      </w:pPr>
      <w:r w:rsidRPr="006735D9">
        <w:rPr>
          <w:rFonts w:cs="Times New Roman"/>
          <w:szCs w:val="24"/>
        </w:rPr>
        <w:t xml:space="preserve">Prior versions of </w:t>
      </w:r>
      <w:r w:rsidR="00160B0B">
        <w:rPr>
          <w:rFonts w:cs="Times New Roman"/>
          <w:szCs w:val="24"/>
        </w:rPr>
        <w:t xml:space="preserve">proposed </w:t>
      </w:r>
      <w:r w:rsidRPr="006735D9">
        <w:rPr>
          <w:rFonts w:cs="Times New Roman"/>
          <w:szCs w:val="24"/>
        </w:rPr>
        <w:t xml:space="preserve">20.2.50.120 NMAC applied to production facilities and associated tank batteries delivering liquids directly </w:t>
      </w:r>
      <w:r>
        <w:rPr>
          <w:rFonts w:cs="Times New Roman"/>
          <w:szCs w:val="24"/>
        </w:rPr>
        <w:t xml:space="preserve">to pipelines and </w:t>
      </w:r>
      <w:r w:rsidRPr="006735D9">
        <w:rPr>
          <w:rFonts w:cs="Times New Roman"/>
          <w:szCs w:val="24"/>
        </w:rPr>
        <w:t xml:space="preserve">produced water </w:t>
      </w:r>
      <w:r>
        <w:rPr>
          <w:rFonts w:cs="Times New Roman"/>
          <w:szCs w:val="24"/>
        </w:rPr>
        <w:t>transfers.</w:t>
      </w:r>
      <w:r w:rsidRPr="006735D9">
        <w:rPr>
          <w:rFonts w:cs="Times New Roman"/>
          <w:szCs w:val="24"/>
        </w:rPr>
        <w:t xml:space="preserve"> Mr. Smitherman credibly testified that regulating such sources presents technical challenges, would not be cost-effective, and would not result in significant emissions reductions. NMOGA Exhibit A1, 26:1-46 – 27:1-12. The </w:t>
      </w:r>
      <w:r w:rsidR="00C13D4D">
        <w:rPr>
          <w:rFonts w:cs="Times New Roman"/>
          <w:szCs w:val="24"/>
        </w:rPr>
        <w:t>D</w:t>
      </w:r>
      <w:r w:rsidRPr="006735D9">
        <w:rPr>
          <w:rFonts w:cs="Times New Roman"/>
          <w:szCs w:val="24"/>
        </w:rPr>
        <w:t xml:space="preserve">epartment’s latest proposal adjusts the rule to address this testimony, and </w:t>
      </w:r>
      <w:r>
        <w:rPr>
          <w:rFonts w:cs="Times New Roman"/>
          <w:szCs w:val="24"/>
        </w:rPr>
        <w:t xml:space="preserve">NMOGA urges the Board to concur with these conclusions. </w:t>
      </w:r>
    </w:p>
    <w:p w14:paraId="064AA5E6" w14:textId="766D1ED3" w:rsidR="00B02F67" w:rsidRPr="006735D9" w:rsidRDefault="00B02F67" w:rsidP="00B02F67">
      <w:pPr>
        <w:spacing w:after="0" w:line="480" w:lineRule="auto"/>
        <w:ind w:firstLine="720"/>
        <w:rPr>
          <w:rFonts w:cs="Times New Roman"/>
          <w:szCs w:val="24"/>
        </w:rPr>
      </w:pPr>
      <w:r w:rsidRPr="006735D9">
        <w:rPr>
          <w:rFonts w:cs="Times New Roman"/>
          <w:szCs w:val="24"/>
        </w:rPr>
        <w:t xml:space="preserve">The </w:t>
      </w:r>
      <w:r w:rsidR="00C13D4D">
        <w:rPr>
          <w:rFonts w:cs="Times New Roman"/>
          <w:szCs w:val="24"/>
        </w:rPr>
        <w:t>D</w:t>
      </w:r>
      <w:r w:rsidRPr="006735D9">
        <w:rPr>
          <w:rFonts w:cs="Times New Roman"/>
          <w:szCs w:val="24"/>
        </w:rPr>
        <w:t xml:space="preserve">epartment’s latest proposal exempts facilities from section 20.2.50.120 NMAC that perform less than 13 loadouts per year. 20.2.50.120.A NMAC. This exemption is based on the testimony of Mr. Smitherman, who testified that hydrocarbon liquid transfers are a function of event frequency, that sites that perform liquid transfer infrequently have a low emitting potential, and that the required controls are not warranted on a cost-per-ton basis for low-emitting operations. NMOGA Exhibit A1, 27:15-26. </w:t>
      </w:r>
      <w:r>
        <w:rPr>
          <w:rFonts w:cs="Times New Roman"/>
          <w:szCs w:val="24"/>
        </w:rPr>
        <w:t>NMOGA urges the Board to find these changes are supported by the record.</w:t>
      </w:r>
    </w:p>
    <w:p w14:paraId="78CB2DEF" w14:textId="534471F9" w:rsidR="00B02F67" w:rsidRDefault="00B02F67" w:rsidP="00B02F67">
      <w:pPr>
        <w:spacing w:after="0" w:line="480" w:lineRule="auto"/>
        <w:ind w:firstLine="720"/>
        <w:rPr>
          <w:rFonts w:cs="Times New Roman"/>
          <w:szCs w:val="24"/>
        </w:rPr>
      </w:pPr>
      <w:r w:rsidRPr="006735D9">
        <w:rPr>
          <w:rFonts w:cs="Times New Roman"/>
          <w:szCs w:val="24"/>
        </w:rPr>
        <w:t xml:space="preserve">The </w:t>
      </w:r>
      <w:r w:rsidR="00944FD7">
        <w:rPr>
          <w:rFonts w:cs="Times New Roman"/>
          <w:szCs w:val="24"/>
        </w:rPr>
        <w:t>D</w:t>
      </w:r>
      <w:r w:rsidRPr="006735D9">
        <w:rPr>
          <w:rFonts w:cs="Times New Roman"/>
          <w:szCs w:val="24"/>
        </w:rPr>
        <w:t xml:space="preserve">epartment’s current proposal requires industry to visually inspect hydrocarbon liquid transfer equipment monthly at staffed locations and semiannually at unstaffed locations. 20.2.50.120.C.1 NMAC. These requirements reflect the testimony of Mr. Smitherman who testified to the logistical challenges and administrative burden of conducting inspections more </w:t>
      </w:r>
      <w:r w:rsidRPr="006735D9">
        <w:rPr>
          <w:rFonts w:cs="Times New Roman"/>
          <w:szCs w:val="24"/>
        </w:rPr>
        <w:lastRenderedPageBreak/>
        <w:t>frequently</w:t>
      </w:r>
      <w:r>
        <w:rPr>
          <w:rFonts w:cs="Times New Roman"/>
          <w:szCs w:val="24"/>
        </w:rPr>
        <w:t>,</w:t>
      </w:r>
      <w:r w:rsidRPr="006735D9">
        <w:rPr>
          <w:rFonts w:cs="Times New Roman"/>
          <w:szCs w:val="24"/>
        </w:rPr>
        <w:t xml:space="preserve"> particularly when sites are unmanned or remotely located. NMOGA Exhibit A1, 28:37-46. </w:t>
      </w:r>
      <w:r>
        <w:rPr>
          <w:rFonts w:cs="Times New Roman"/>
          <w:szCs w:val="24"/>
        </w:rPr>
        <w:t>The monthly and semiannual inspection frequencies reflect a</w:t>
      </w:r>
      <w:r w:rsidRPr="006735D9">
        <w:rPr>
          <w:rFonts w:cs="Times New Roman"/>
          <w:szCs w:val="24"/>
        </w:rPr>
        <w:t xml:space="preserve"> reasonable strategy for evaluating compliance with hydrocarbon liquid transfer requirements</w:t>
      </w:r>
      <w:r>
        <w:rPr>
          <w:rFonts w:cs="Times New Roman"/>
          <w:szCs w:val="24"/>
        </w:rPr>
        <w:t>, and NMOGA urges the Board to concur.</w:t>
      </w:r>
    </w:p>
    <w:p w14:paraId="25AE31AC" w14:textId="25CE2F40" w:rsidR="00B02F67" w:rsidRDefault="00B02F67" w:rsidP="00B02F67">
      <w:pPr>
        <w:spacing w:after="0" w:line="480" w:lineRule="auto"/>
        <w:ind w:firstLine="720"/>
        <w:rPr>
          <w:rFonts w:cs="Times New Roman"/>
          <w:szCs w:val="24"/>
        </w:rPr>
      </w:pPr>
      <w:r>
        <w:rPr>
          <w:rFonts w:cs="Times New Roman"/>
          <w:szCs w:val="24"/>
        </w:rPr>
        <w:t xml:space="preserve">The </w:t>
      </w:r>
      <w:r w:rsidR="00944FD7">
        <w:rPr>
          <w:rFonts w:cs="Times New Roman"/>
          <w:szCs w:val="24"/>
        </w:rPr>
        <w:t>D</w:t>
      </w:r>
      <w:r>
        <w:rPr>
          <w:rFonts w:cs="Times New Roman"/>
          <w:szCs w:val="24"/>
        </w:rPr>
        <w:t>epartment’s latest proposal also requires hydrocarbon liquid transfers to be controlled within 2 years of the effective date. For sources that control transfers by routing vapors to a storage vessel, this effectively supersedes the multiyear phase-in schedule proposed under 20.2.50.123.B.(1) NMAC for storage vessels. Unlike the 2-year deadline under 20.2.50.120 NMAC, section 123 requires that 30% of existing storage vessels be controlled by January 1, 2025, 35% by January 1, 2027, and the remainder by January 1, 2029.</w:t>
      </w:r>
      <w:r>
        <w:rPr>
          <w:rFonts w:cs="Times New Roman"/>
          <w:i/>
          <w:iCs/>
          <w:szCs w:val="24"/>
        </w:rPr>
        <w:t xml:space="preserve"> See </w:t>
      </w:r>
      <w:r>
        <w:rPr>
          <w:rFonts w:cs="Times New Roman"/>
          <w:szCs w:val="24"/>
        </w:rPr>
        <w:t xml:space="preserve">20.2.50.123.B.1(a)-(c) NMAC. Some gathering and boosting sites route vapors back to existing tanks without existing controls during transfer events and do so on a large scale. These operators cannot practically retrofit their entire inventory of storage vessels with combustion controls within two years for the same reason that owners and operators of storage vessels generally need a phase-in period under 20.2.50.123.B.(1) NMAC. As Mr. </w:t>
      </w:r>
      <w:proofErr w:type="spellStart"/>
      <w:r>
        <w:rPr>
          <w:rFonts w:cs="Times New Roman"/>
          <w:szCs w:val="24"/>
        </w:rPr>
        <w:t>Holderman</w:t>
      </w:r>
      <w:proofErr w:type="spellEnd"/>
      <w:r>
        <w:rPr>
          <w:rFonts w:cs="Times New Roman"/>
          <w:szCs w:val="24"/>
        </w:rPr>
        <w:t xml:space="preserve"> testified, </w:t>
      </w:r>
      <w:r w:rsidRPr="002F3462">
        <w:rPr>
          <w:rFonts w:cs="Times New Roman"/>
          <w:szCs w:val="24"/>
        </w:rPr>
        <w:t xml:space="preserve">steel shortages, component shortages, labor shortages, limited manufacturing capacity, and </w:t>
      </w:r>
      <w:r>
        <w:rPr>
          <w:rFonts w:cs="Times New Roman"/>
          <w:szCs w:val="24"/>
        </w:rPr>
        <w:t xml:space="preserve">other </w:t>
      </w:r>
      <w:r w:rsidRPr="002F3462">
        <w:rPr>
          <w:rFonts w:cs="Times New Roman"/>
          <w:szCs w:val="24"/>
        </w:rPr>
        <w:t xml:space="preserve">supply chain issues make meeting these demands </w:t>
      </w:r>
      <w:r>
        <w:rPr>
          <w:rFonts w:cs="Times New Roman"/>
          <w:szCs w:val="24"/>
        </w:rPr>
        <w:t xml:space="preserve">within 2 years infeasible. Tr. </w:t>
      </w:r>
      <w:r w:rsidRPr="002774CE">
        <w:rPr>
          <w:rFonts w:cs="Times New Roman"/>
          <w:szCs w:val="24"/>
        </w:rPr>
        <w:t>9:2899:4-25 - 9:2900:1-9</w:t>
      </w:r>
      <w:r>
        <w:rPr>
          <w:rFonts w:cs="Times New Roman"/>
          <w:szCs w:val="24"/>
        </w:rPr>
        <w:t>. The Board should direct that h</w:t>
      </w:r>
      <w:r w:rsidRPr="0031741A">
        <w:rPr>
          <w:rFonts w:cs="Times New Roman"/>
          <w:szCs w:val="24"/>
        </w:rPr>
        <w:t xml:space="preserve">ydrocarbon liquid transfers at existing gathering and boosting stations (including associated tank batteries) without any controlled storage vessels are subject to the requirements of 20.2.50.120 NMAC on the schedule </w:t>
      </w:r>
      <w:r>
        <w:rPr>
          <w:rFonts w:cs="Times New Roman"/>
          <w:szCs w:val="24"/>
        </w:rPr>
        <w:t xml:space="preserve">in </w:t>
      </w:r>
      <w:r w:rsidRPr="0031741A">
        <w:rPr>
          <w:rFonts w:cs="Times New Roman"/>
          <w:szCs w:val="24"/>
        </w:rPr>
        <w:t>20.2.50.123</w:t>
      </w:r>
      <w:r>
        <w:rPr>
          <w:rFonts w:cs="Times New Roman"/>
          <w:szCs w:val="24"/>
        </w:rPr>
        <w:t>.B.(1)</w:t>
      </w:r>
      <w:r w:rsidRPr="0031741A">
        <w:rPr>
          <w:rFonts w:cs="Times New Roman"/>
          <w:szCs w:val="24"/>
        </w:rPr>
        <w:t xml:space="preserve"> NMAC</w:t>
      </w:r>
      <w:r>
        <w:rPr>
          <w:rFonts w:cs="Times New Roman"/>
          <w:szCs w:val="24"/>
        </w:rPr>
        <w:t>.</w:t>
      </w:r>
    </w:p>
    <w:p w14:paraId="26B4531A" w14:textId="77777777" w:rsidR="00B02F67" w:rsidRPr="001C7964" w:rsidRDefault="00B02F67" w:rsidP="00B02F67">
      <w:pPr>
        <w:spacing w:after="0" w:line="480" w:lineRule="auto"/>
        <w:ind w:firstLine="720"/>
        <w:jc w:val="both"/>
      </w:pPr>
      <w:r>
        <w:rPr>
          <w:bCs/>
        </w:rPr>
        <w:t xml:space="preserve">Finally, under the Department’s May 6, </w:t>
      </w:r>
      <w:proofErr w:type="gramStart"/>
      <w:r>
        <w:rPr>
          <w:bCs/>
        </w:rPr>
        <w:t>2021</w:t>
      </w:r>
      <w:proofErr w:type="gramEnd"/>
      <w:r>
        <w:rPr>
          <w:bCs/>
        </w:rPr>
        <w:t xml:space="preserve"> proposal</w:t>
      </w:r>
      <w:r>
        <w:t xml:space="preserve">, oil and gas owners and operators were required to conduct vapor tightness testing on tanker trucks or tanker rail cars used for hydrocarbon liquid transfers. In the July 28, 2021, proposal, the Department removed these </w:t>
      </w:r>
      <w:r>
        <w:lastRenderedPageBreak/>
        <w:t xml:space="preserve">provisions. In its direct testimony, the Department explained the reason for this change: “Tanker trucks and tanker rail cars transporting hydrocarbon liquids are not subject to Part 50 and were not analyzed by the Department during the development of the requirements in Part 50. The Department did not intend to impose testing and inspection requirements on equipment not subject to Part 50.” NMED Direct Exhibit 32, at 11. NMOGA agrees with the removal of these standards. </w:t>
      </w:r>
      <w:r w:rsidRPr="0024669A">
        <w:rPr>
          <w:bCs/>
        </w:rPr>
        <w:t xml:space="preserve">Under 49 U.S.C. § 5125(b), the vapor tightness standards are preempted because they </w:t>
      </w:r>
      <w:r>
        <w:rPr>
          <w:bCs/>
        </w:rPr>
        <w:t>would have imposed</w:t>
      </w:r>
      <w:r w:rsidRPr="0024669A">
        <w:rPr>
          <w:bCs/>
        </w:rPr>
        <w:t xml:space="preserve"> more stringent testing requirements on hazardous material containers than federal hazardous material transportation law. Similarly, und</w:t>
      </w:r>
      <w:r>
        <w:rPr>
          <w:bCs/>
        </w:rPr>
        <w:t xml:space="preserve">er </w:t>
      </w:r>
      <w:r w:rsidRPr="001C7964">
        <w:rPr>
          <w:bCs/>
        </w:rPr>
        <w:t>49 U.S.C. § 10501(b)</w:t>
      </w:r>
      <w:r>
        <w:rPr>
          <w:bCs/>
        </w:rPr>
        <w:t xml:space="preserve">, the standards </w:t>
      </w:r>
      <w:r w:rsidRPr="0024669A">
        <w:rPr>
          <w:bCs/>
        </w:rPr>
        <w:t xml:space="preserve">are </w:t>
      </w:r>
      <w:r>
        <w:rPr>
          <w:bCs/>
        </w:rPr>
        <w:t xml:space="preserve">federally </w:t>
      </w:r>
      <w:r w:rsidRPr="0024669A">
        <w:rPr>
          <w:bCs/>
        </w:rPr>
        <w:t xml:space="preserve">preempted as they relate to rail shipments because they </w:t>
      </w:r>
      <w:r>
        <w:rPr>
          <w:bCs/>
        </w:rPr>
        <w:t xml:space="preserve">would </w:t>
      </w:r>
      <w:r w:rsidRPr="0024669A">
        <w:rPr>
          <w:bCs/>
        </w:rPr>
        <w:t xml:space="preserve">have </w:t>
      </w:r>
      <w:r>
        <w:rPr>
          <w:bCs/>
        </w:rPr>
        <w:t xml:space="preserve">had </w:t>
      </w:r>
      <w:r w:rsidRPr="0024669A">
        <w:rPr>
          <w:bCs/>
        </w:rPr>
        <w:t>the effect of managing or governing rail transportation, an area of regulation reserved to the federal government.</w:t>
      </w:r>
    </w:p>
    <w:p w14:paraId="6EE4C816" w14:textId="77777777" w:rsidR="00B02F67" w:rsidRPr="00661096" w:rsidRDefault="00B02F67" w:rsidP="00661096">
      <w:pPr>
        <w:pStyle w:val="Heading2"/>
      </w:pPr>
      <w:bookmarkStart w:id="14" w:name="_Toc93563258"/>
      <w:r w:rsidRPr="00661096">
        <w:t>Pig Launching &amp; Receiving, 20.2.50.121 NMAC, and Well Workovers 20.2.50.124 NMAC. The Board Should Reject Standards for Pig Launching &amp; Receiving and Well Workovers Because They Do Not Demonstrably Impact Ozone.</w:t>
      </w:r>
      <w:bookmarkEnd w:id="14"/>
      <w:r w:rsidRPr="00661096">
        <w:t xml:space="preserve"> </w:t>
      </w:r>
    </w:p>
    <w:p w14:paraId="59DCE44F" w14:textId="77777777" w:rsidR="00B02F67" w:rsidRDefault="00B02F67" w:rsidP="00B02F67">
      <w:pPr>
        <w:spacing w:after="0" w:line="480" w:lineRule="auto"/>
        <w:ind w:firstLine="720"/>
        <w:jc w:val="both"/>
        <w:rPr>
          <w:bCs/>
        </w:rPr>
      </w:pPr>
      <w:r>
        <w:rPr>
          <w:bCs/>
        </w:rPr>
        <w:t xml:space="preserve">To evaluate the impacts of the proposed rule on ozone, NMED commissioned a photochemical model. The purpose of the model was to assess the impacts of proposed Part 50 controls on ozone concentrations in New Mexico. The testimony of NMOGA witness Dennis McNally characterized the model results as follows: </w:t>
      </w:r>
    </w:p>
    <w:p w14:paraId="0A2F8F55" w14:textId="77777777" w:rsidR="00B02F67" w:rsidRDefault="00B02F67" w:rsidP="00B02F67">
      <w:pPr>
        <w:autoSpaceDE w:val="0"/>
        <w:autoSpaceDN w:val="0"/>
        <w:adjustRightInd w:val="0"/>
        <w:spacing w:after="0" w:line="240" w:lineRule="auto"/>
        <w:ind w:left="720"/>
        <w:rPr>
          <w:rFonts w:cs="Times New Roman"/>
          <w:szCs w:val="24"/>
        </w:rPr>
      </w:pPr>
      <w:r w:rsidRPr="00300864">
        <w:rPr>
          <w:rFonts w:cs="Times New Roman"/>
          <w:szCs w:val="24"/>
        </w:rPr>
        <w:t>The ozone air quality benefits of the proposed rule are quite modest, and what impacts the rule does have are primarily the result of the NOx control measures. Additional controls on oil and gas VOC emissions are not an effective means of controlling ambient ozone levels in New Mexico, except for possibly in a very limited area in northeastern San Juan County.</w:t>
      </w:r>
    </w:p>
    <w:p w14:paraId="5D9A612E" w14:textId="77777777" w:rsidR="00B02F67" w:rsidRDefault="00B02F67" w:rsidP="00B02F67">
      <w:pPr>
        <w:autoSpaceDE w:val="0"/>
        <w:autoSpaceDN w:val="0"/>
        <w:adjustRightInd w:val="0"/>
        <w:spacing w:after="0" w:line="240" w:lineRule="auto"/>
        <w:ind w:left="720"/>
        <w:rPr>
          <w:rFonts w:cs="Times New Roman"/>
          <w:szCs w:val="24"/>
        </w:rPr>
      </w:pPr>
    </w:p>
    <w:p w14:paraId="068F0F7C" w14:textId="2F0FDAF1" w:rsidR="00B02F67" w:rsidRDefault="00B02F67" w:rsidP="00B02F67">
      <w:pPr>
        <w:spacing w:after="0" w:line="480" w:lineRule="auto"/>
        <w:jc w:val="both"/>
        <w:rPr>
          <w:rFonts w:cs="Times New Roman"/>
          <w:szCs w:val="24"/>
        </w:rPr>
      </w:pPr>
      <w:r>
        <w:rPr>
          <w:rFonts w:cs="Times New Roman"/>
          <w:szCs w:val="24"/>
        </w:rPr>
        <w:t xml:space="preserve">NMOGA Exhibit A4, at 16. NMED’s expert Ralph Morris, who conducted the analysis on behalf of NMED, concedes this point.  </w:t>
      </w:r>
      <w:r>
        <w:rPr>
          <w:rFonts w:cs="Times New Roman"/>
          <w:i/>
          <w:iCs/>
          <w:szCs w:val="24"/>
        </w:rPr>
        <w:t xml:space="preserve">See, e.g., </w:t>
      </w:r>
      <w:r w:rsidR="0006617C">
        <w:rPr>
          <w:rFonts w:cs="Times New Roman"/>
          <w:szCs w:val="24"/>
        </w:rPr>
        <w:t>Tr. 2:</w:t>
      </w:r>
      <w:r>
        <w:rPr>
          <w:rFonts w:cs="Times New Roman"/>
          <w:szCs w:val="24"/>
        </w:rPr>
        <w:t>397:1-20.</w:t>
      </w:r>
      <w:r>
        <w:rPr>
          <w:rFonts w:cs="Times New Roman"/>
          <w:i/>
          <w:iCs/>
          <w:szCs w:val="24"/>
        </w:rPr>
        <w:t xml:space="preserve"> </w:t>
      </w:r>
    </w:p>
    <w:p w14:paraId="3951BF7F" w14:textId="77777777" w:rsidR="00B02F67" w:rsidRDefault="00B02F67" w:rsidP="00B02F67">
      <w:pPr>
        <w:spacing w:after="0" w:line="480" w:lineRule="auto"/>
        <w:jc w:val="both"/>
        <w:rPr>
          <w:rFonts w:cs="Times New Roman"/>
        </w:rPr>
      </w:pPr>
      <w:r>
        <w:rPr>
          <w:rFonts w:cs="Times New Roman"/>
          <w:szCs w:val="24"/>
        </w:rPr>
        <w:lastRenderedPageBreak/>
        <w:tab/>
      </w:r>
      <w:r w:rsidRPr="52E058CA">
        <w:rPr>
          <w:rFonts w:cs="Times New Roman"/>
        </w:rPr>
        <w:t xml:space="preserve">To provide context on a per-ton basis, Mr. Morris testified that </w:t>
      </w:r>
      <w:r>
        <w:rPr>
          <w:rFonts w:cs="Times New Roman"/>
        </w:rPr>
        <w:t>an increase or decrease of</w:t>
      </w:r>
      <w:r w:rsidRPr="52E058CA">
        <w:rPr>
          <w:rFonts w:cs="Times New Roman"/>
        </w:rPr>
        <w:t xml:space="preserve"> 670 tons</w:t>
      </w:r>
      <w:r>
        <w:rPr>
          <w:rFonts w:cs="Times New Roman"/>
        </w:rPr>
        <w:t xml:space="preserve"> </w:t>
      </w:r>
      <w:r w:rsidRPr="52E058CA">
        <w:rPr>
          <w:rFonts w:cs="Times New Roman"/>
        </w:rPr>
        <w:t xml:space="preserve">of NOx emissions </w:t>
      </w:r>
      <w:r>
        <w:rPr>
          <w:rFonts w:cs="Times New Roman"/>
        </w:rPr>
        <w:t xml:space="preserve">per year one way or another </w:t>
      </w:r>
      <w:r w:rsidRPr="52E058CA">
        <w:rPr>
          <w:rFonts w:cs="Times New Roman"/>
        </w:rPr>
        <w:t xml:space="preserve">would have “no material effect on ozone results.” Vol. 2, 381:1-12; 398:9-14. </w:t>
      </w:r>
      <w:r>
        <w:rPr>
          <w:rFonts w:cs="Times New Roman"/>
        </w:rPr>
        <w:t>Mr. McNally similarly testified that</w:t>
      </w:r>
      <w:r w:rsidRPr="52E058CA">
        <w:rPr>
          <w:rFonts w:cs="Times New Roman"/>
        </w:rPr>
        <w:t xml:space="preserve"> </w:t>
      </w:r>
      <w:r>
        <w:rPr>
          <w:rFonts w:cs="Times New Roman"/>
        </w:rPr>
        <w:t xml:space="preserve">increases or decreases in </w:t>
      </w:r>
      <w:r w:rsidRPr="52E058CA">
        <w:rPr>
          <w:rFonts w:cs="Times New Roman"/>
        </w:rPr>
        <w:t xml:space="preserve">VOC emissions </w:t>
      </w:r>
      <w:proofErr w:type="gramStart"/>
      <w:r w:rsidRPr="52E058CA">
        <w:rPr>
          <w:rFonts w:cs="Times New Roman"/>
        </w:rPr>
        <w:t>in excess of</w:t>
      </w:r>
      <w:proofErr w:type="gramEnd"/>
      <w:r w:rsidRPr="52E058CA">
        <w:rPr>
          <w:rFonts w:cs="Times New Roman"/>
        </w:rPr>
        <w:t xml:space="preserve"> </w:t>
      </w:r>
      <w:r>
        <w:rPr>
          <w:rFonts w:cs="Times New Roman"/>
        </w:rPr>
        <w:t>a thousand tons</w:t>
      </w:r>
      <w:r w:rsidRPr="52E058CA">
        <w:rPr>
          <w:rFonts w:cs="Times New Roman"/>
        </w:rPr>
        <w:t xml:space="preserve"> </w:t>
      </w:r>
      <w:r>
        <w:rPr>
          <w:rFonts w:cs="Times New Roman"/>
        </w:rPr>
        <w:t>of VOC per year</w:t>
      </w:r>
      <w:r w:rsidRPr="52E058CA">
        <w:rPr>
          <w:rFonts w:cs="Times New Roman"/>
        </w:rPr>
        <w:t xml:space="preserve"> would </w:t>
      </w:r>
      <w:r>
        <w:rPr>
          <w:rFonts w:cs="Times New Roman"/>
        </w:rPr>
        <w:t>have no demonstrable impacts on ozone concentrations. Vol. 2, 494:22-25 – 495:1-5.</w:t>
      </w:r>
      <w:r w:rsidRPr="52E058CA">
        <w:rPr>
          <w:rFonts w:cs="Times New Roman"/>
        </w:rPr>
        <w:t xml:space="preserve"> </w:t>
      </w:r>
      <w:r>
        <w:rPr>
          <w:rFonts w:cs="Times New Roman"/>
        </w:rPr>
        <w:t xml:space="preserve"> </w:t>
      </w:r>
    </w:p>
    <w:p w14:paraId="102C2E80" w14:textId="77777777" w:rsidR="00B02F67" w:rsidRDefault="00B02F67" w:rsidP="00B02F67">
      <w:pPr>
        <w:spacing w:after="0" w:line="480" w:lineRule="auto"/>
        <w:ind w:firstLine="720"/>
        <w:jc w:val="both"/>
        <w:rPr>
          <w:rFonts w:cs="Times New Roman"/>
        </w:rPr>
      </w:pPr>
      <w:r>
        <w:rPr>
          <w:rFonts w:cs="Times New Roman"/>
        </w:rPr>
        <w:t>According to NMED’s own witnesses, standards under 20.2.50.121 NMAC for pig launching and receiving and standards under 20.2.50.124 NMAC for workovers will not reduce emissions in amounts exceeding these thresholds. As such, if these standards are not adopted and the anticipated reductions are added back to the inventory, the increase will not have an impact on ozone attainment or maintenance.</w:t>
      </w:r>
    </w:p>
    <w:p w14:paraId="0A00A34B" w14:textId="77777777" w:rsidR="00B02F67" w:rsidRDefault="00B02F67" w:rsidP="00B02F67">
      <w:pPr>
        <w:spacing w:after="0" w:line="480" w:lineRule="auto"/>
        <w:jc w:val="both"/>
        <w:rPr>
          <w:bCs/>
        </w:rPr>
      </w:pPr>
      <w:r>
        <w:rPr>
          <w:rFonts w:cs="Times New Roman"/>
        </w:rPr>
        <w:tab/>
        <w:t xml:space="preserve">Ms. Bisbey-Kuehn testified that NMED estimates overall emissions reductions of 22.9 tons of allowable VOC emissions from implementation of the proposed standards for pig launching and receiving under 20.2.50.121 NMAC. Tr. 9:3053:5-11. Ms. Bisbey-Kuehn testified this number did not account for all emissions because the Department’s emissions inventory is not complete. </w:t>
      </w:r>
      <w:r>
        <w:rPr>
          <w:rFonts w:cs="Times New Roman"/>
          <w:i/>
          <w:iCs/>
        </w:rPr>
        <w:t xml:space="preserve">Id. </w:t>
      </w:r>
      <w:r>
        <w:rPr>
          <w:rFonts w:cs="Times New Roman"/>
        </w:rPr>
        <w:t xml:space="preserve">But even if the emissions were underestimated by a factor of 45, they would not move the ozone needle according to the testimony of Mr. McNally and Mr. Morris. Moreover, because the Department’s pig launching and receiving standards have no federal counterpart, these standards are more stringent than existing federal law. As such, they trigger the </w:t>
      </w:r>
      <w:r>
        <w:rPr>
          <w:bCs/>
        </w:rPr>
        <w:t>protectiveness evaluation in NMSA</w:t>
      </w:r>
      <w:r w:rsidRPr="00D242CB">
        <w:rPr>
          <w:bCs/>
        </w:rPr>
        <w:t xml:space="preserve"> 1978, § </w:t>
      </w:r>
      <w:r>
        <w:rPr>
          <w:bCs/>
        </w:rPr>
        <w:t>74-2-</w:t>
      </w:r>
      <w:proofErr w:type="gramStart"/>
      <w:r>
        <w:rPr>
          <w:bCs/>
        </w:rPr>
        <w:t>5.G.</w:t>
      </w:r>
      <w:proofErr w:type="gramEnd"/>
      <w:r>
        <w:rPr>
          <w:bCs/>
        </w:rPr>
        <w:t xml:space="preserve"> A statement that the requisite information to justify the rule is not available does not qualify as “substantial evidence” of greater protectiveness. The Board should reject this proposal as it provides no demonstrable benefit to ozone attainment and maintenance. </w:t>
      </w:r>
    </w:p>
    <w:p w14:paraId="55852FF7" w14:textId="77777777" w:rsidR="00B02F67" w:rsidRDefault="00B02F67" w:rsidP="00B02F67">
      <w:pPr>
        <w:spacing w:after="0" w:line="480" w:lineRule="auto"/>
        <w:jc w:val="both"/>
        <w:rPr>
          <w:bCs/>
        </w:rPr>
      </w:pPr>
      <w:r>
        <w:rPr>
          <w:rFonts w:cs="Times New Roman"/>
        </w:rPr>
        <w:tab/>
        <w:t xml:space="preserve">Similarly, NMED provided no emissions estimates to support the implementation of best management practices for well workovers under proposed 20.2.50.124 NMAC. According to </w:t>
      </w:r>
      <w:r>
        <w:rPr>
          <w:rFonts w:cs="Times New Roman"/>
        </w:rPr>
        <w:lastRenderedPageBreak/>
        <w:t xml:space="preserve">NMED witness, Mr. Palmer, “emissions estimates for workover operations are not currently available in the modeling emissions inventory or found in the NMED equipment data.” Vol. 9, 3101:19-23. The workover proposal has no federal counterpart and is thus subject to the heightened </w:t>
      </w:r>
      <w:r>
        <w:rPr>
          <w:bCs/>
        </w:rPr>
        <w:t>protectiveness evaluation in NMSA</w:t>
      </w:r>
      <w:r w:rsidRPr="00D242CB">
        <w:rPr>
          <w:bCs/>
        </w:rPr>
        <w:t xml:space="preserve"> 1978, § </w:t>
      </w:r>
      <w:r>
        <w:rPr>
          <w:bCs/>
        </w:rPr>
        <w:t>74-2-</w:t>
      </w:r>
      <w:proofErr w:type="gramStart"/>
      <w:r>
        <w:rPr>
          <w:bCs/>
        </w:rPr>
        <w:t>5.G.</w:t>
      </w:r>
      <w:proofErr w:type="gramEnd"/>
      <w:r>
        <w:rPr>
          <w:bCs/>
        </w:rPr>
        <w:t xml:space="preserve"> Because the record contains no evidence that VOC emissions from workovers have any impact on ozone, the NMED has not provided substantial evidence to support adoption of the standard.</w:t>
      </w:r>
      <w:r>
        <w:rPr>
          <w:rStyle w:val="FootnoteReference"/>
          <w:bCs/>
        </w:rPr>
        <w:footnoteReference w:id="10"/>
      </w:r>
      <w:r>
        <w:rPr>
          <w:bCs/>
        </w:rPr>
        <w:t xml:space="preserve"> </w:t>
      </w:r>
    </w:p>
    <w:p w14:paraId="718DE7A6" w14:textId="71F762AB" w:rsidR="00B02F67" w:rsidRPr="00CE4227" w:rsidRDefault="00B02F67" w:rsidP="00B02F67">
      <w:pPr>
        <w:spacing w:after="0" w:line="480" w:lineRule="auto"/>
        <w:jc w:val="both"/>
        <w:rPr>
          <w:bCs/>
        </w:rPr>
      </w:pPr>
      <w:r>
        <w:rPr>
          <w:bCs/>
        </w:rPr>
        <w:tab/>
        <w:t>If the Board ultimately adopts these standards</w:t>
      </w:r>
      <w:r w:rsidR="0079004D">
        <w:rPr>
          <w:bCs/>
        </w:rPr>
        <w:t xml:space="preserve"> against the weight of the evidence cited above</w:t>
      </w:r>
      <w:r>
        <w:rPr>
          <w:bCs/>
        </w:rPr>
        <w:t xml:space="preserve">, </w:t>
      </w:r>
      <w:r w:rsidR="0079004D">
        <w:rPr>
          <w:bCs/>
        </w:rPr>
        <w:t>NMOGA</w:t>
      </w:r>
      <w:r>
        <w:rPr>
          <w:bCs/>
        </w:rPr>
        <w:t xml:space="preserve"> urge</w:t>
      </w:r>
      <w:r w:rsidR="0079004D">
        <w:rPr>
          <w:bCs/>
        </w:rPr>
        <w:t>s</w:t>
      </w:r>
      <w:r>
        <w:rPr>
          <w:bCs/>
        </w:rPr>
        <w:t xml:space="preserve"> the Board to also adopt the modifications advocated for by NMOGA, which are contained in its latest redline and include accompanying record support.</w:t>
      </w:r>
      <w:r>
        <w:rPr>
          <w:bCs/>
        </w:rPr>
        <w:tab/>
      </w:r>
    </w:p>
    <w:p w14:paraId="6BFCD219" w14:textId="77777777" w:rsidR="00B02F67" w:rsidRPr="00661096" w:rsidRDefault="00B02F67" w:rsidP="00661096">
      <w:pPr>
        <w:pStyle w:val="Heading2"/>
      </w:pPr>
      <w:bookmarkStart w:id="15" w:name="_Toc93563259"/>
      <w:r w:rsidRPr="00661096">
        <w:t>Pneumatic Controllers and Pumps, 20.2.50.122 NMAC. The Board Should Adopt NMED’s Pneumatics Proposal, with Minor Changes to Enhance Workability, and Reject Proposals by Other Stakeholders to Increase the Stringency of Pneumatics Requirements.</w:t>
      </w:r>
      <w:bookmarkEnd w:id="15"/>
      <w:r w:rsidRPr="00661096">
        <w:t xml:space="preserve"> </w:t>
      </w:r>
    </w:p>
    <w:p w14:paraId="5D150097" w14:textId="210151C5" w:rsidR="00B02F67" w:rsidRDefault="00B02F67" w:rsidP="00B02F67">
      <w:pPr>
        <w:spacing w:after="0" w:line="480" w:lineRule="auto"/>
        <w:ind w:firstLine="720"/>
        <w:jc w:val="both"/>
        <w:rPr>
          <w:bCs/>
        </w:rPr>
      </w:pPr>
      <w:r>
        <w:rPr>
          <w:bCs/>
        </w:rPr>
        <w:t xml:space="preserve">NMED’s proposal requires all new natural gas-driven pneumatic controllers to have an emission rate of zero and a specified percentage of existing controllers to be non-emitting according to the schedule in proposed 20.2.50.122.B(3) NMAC.  The proposal ultimately requires anywhere from 80 to 90% of controllers at well sites, tank batteries, and gathering and boosting stations to be non-emitting by January 1, 2030, and 98% of pneumatic controllers at transmission compressor stations and gas processing plants to be non-emitting by January 1, 2030. The proposal also requires new pneumatic diaphragm pumps located at natural gas processing plants to be non-emitting; new pneumatic diaphragm pumps located at well sites, tank batteries, gathering and boosting stations, or transmission compressor stations with access to commercial line electrical power to be non-emitting;  </w:t>
      </w:r>
      <w:r w:rsidRPr="00A42954">
        <w:rPr>
          <w:bCs/>
        </w:rPr>
        <w:t xml:space="preserve">existing pneumatic diaphragm pumps located at well sites, tank </w:t>
      </w:r>
      <w:r w:rsidRPr="00A42954">
        <w:rPr>
          <w:bCs/>
        </w:rPr>
        <w:lastRenderedPageBreak/>
        <w:t xml:space="preserve">batteries, gathering and boosting stations, natural gas processing plants, or transmission compressor stations with access to commercial line electrical power </w:t>
      </w:r>
      <w:r>
        <w:rPr>
          <w:bCs/>
        </w:rPr>
        <w:t xml:space="preserve">to be non-emitting </w:t>
      </w:r>
      <w:r w:rsidRPr="00A42954">
        <w:rPr>
          <w:bCs/>
        </w:rPr>
        <w:t>within two years</w:t>
      </w:r>
      <w:r>
        <w:rPr>
          <w:bCs/>
        </w:rPr>
        <w:t xml:space="preserve">; and certain pneumatic diaphragm pumps to be controlled by 95% where non-emitting technology is unavailable. </w:t>
      </w:r>
    </w:p>
    <w:p w14:paraId="09C49646" w14:textId="5DBEE224" w:rsidR="00B02F67" w:rsidRDefault="00B02F67" w:rsidP="00B02F67">
      <w:pPr>
        <w:spacing w:after="0" w:line="480" w:lineRule="auto"/>
        <w:jc w:val="both"/>
        <w:rPr>
          <w:bCs/>
        </w:rPr>
      </w:pPr>
      <w:r>
        <w:rPr>
          <w:b/>
        </w:rPr>
        <w:tab/>
      </w:r>
      <w:r>
        <w:rPr>
          <w:bCs/>
        </w:rPr>
        <w:t xml:space="preserve">Other stakeholders object to the Department’s pneumatic controller proposal primarily because it is different than Colorado’s approach. While Colorado requires phaseout of pneumatic controllers on a production basis, New Mexico has applied a phaseout based on controller count. As Ms. Bisbey-Kuehn and Mr. Palmer explained, Colorado’s approach is not appropriate for New Mexico. </w:t>
      </w:r>
      <w:r>
        <w:rPr>
          <w:bCs/>
          <w:i/>
          <w:iCs/>
        </w:rPr>
        <w:t xml:space="preserve">See generally, </w:t>
      </w:r>
      <w:r w:rsidR="00114BFF">
        <w:rPr>
          <w:bCs/>
        </w:rPr>
        <w:t xml:space="preserve">Tr. </w:t>
      </w:r>
      <w:r w:rsidRPr="003A111D">
        <w:rPr>
          <w:bCs/>
        </w:rPr>
        <w:t>7:2025:20-25 - 2027:1-15</w:t>
      </w:r>
      <w:r>
        <w:rPr>
          <w:bCs/>
          <w:i/>
          <w:iCs/>
        </w:rPr>
        <w:t xml:space="preserve">. </w:t>
      </w:r>
      <w:r>
        <w:rPr>
          <w:bCs/>
        </w:rPr>
        <w:t>Colorado has been regulating pneumatic controllers since 2009</w:t>
      </w:r>
      <w:r w:rsidR="00114BFF">
        <w:rPr>
          <w:bCs/>
        </w:rPr>
        <w:t xml:space="preserve">, </w:t>
      </w:r>
      <w:r>
        <w:rPr>
          <w:bCs/>
        </w:rPr>
        <w:t xml:space="preserve">and it has extensive infrastructure and administrative resources in place necessary to administer a program like Colorado’s. Palmer Testimony, Tr. </w:t>
      </w:r>
      <w:r w:rsidRPr="007E29B2">
        <w:rPr>
          <w:bCs/>
        </w:rPr>
        <w:t>7:2022:19-23</w:t>
      </w:r>
      <w:r>
        <w:rPr>
          <w:bCs/>
        </w:rPr>
        <w:t xml:space="preserve">; Bisbey-Kuehn Testimony, Tr. </w:t>
      </w:r>
      <w:r w:rsidRPr="007E29B2">
        <w:rPr>
          <w:bCs/>
        </w:rPr>
        <w:t>7:2026:12-22</w:t>
      </w:r>
      <w:r>
        <w:rPr>
          <w:bCs/>
        </w:rPr>
        <w:t xml:space="preserve">. This is not the situation New Mexico finds itself in, as the state is regulating pneumatic controllers for the first time through proposed Part 50. Bisbey-Kuehn </w:t>
      </w:r>
      <w:r w:rsidR="001777AB">
        <w:rPr>
          <w:bCs/>
        </w:rPr>
        <w:t>t</w:t>
      </w:r>
      <w:r>
        <w:rPr>
          <w:bCs/>
        </w:rPr>
        <w:t xml:space="preserve">estimony, Tr. </w:t>
      </w:r>
      <w:r w:rsidRPr="00E13E3E">
        <w:rPr>
          <w:bCs/>
        </w:rPr>
        <w:t>7:2027:4-9</w:t>
      </w:r>
      <w:r>
        <w:rPr>
          <w:bCs/>
        </w:rPr>
        <w:t xml:space="preserve">. Unlike Colorado, New Mexico does not have the benefit of building the pneumatics program on top of emissions reductions already achieved by past regulatory efforts. Tr. </w:t>
      </w:r>
      <w:r w:rsidRPr="007E29B2">
        <w:rPr>
          <w:bCs/>
        </w:rPr>
        <w:t>7:2022:19-23</w:t>
      </w:r>
      <w:r>
        <w:rPr>
          <w:bCs/>
        </w:rPr>
        <w:t xml:space="preserve">. The current proposal </w:t>
      </w:r>
      <w:r w:rsidR="00C93A24">
        <w:rPr>
          <w:bCs/>
        </w:rPr>
        <w:t>recognizes</w:t>
      </w:r>
      <w:r>
        <w:rPr>
          <w:bCs/>
        </w:rPr>
        <w:t xml:space="preserve"> the status of the industry in New Mexico while requiring leaps forward to achieve significant emissions reductions. To the extent other stakeholders have espoused a production-based approach, it should be rejected for these reasons.  Bisbey-Kuehn testimony, Tr.</w:t>
      </w:r>
      <w:r w:rsidRPr="00E13E3E">
        <w:rPr>
          <w:bCs/>
        </w:rPr>
        <w:t>7:2028:4-13</w:t>
      </w:r>
      <w:r w:rsidR="0063366E">
        <w:rPr>
          <w:bCs/>
        </w:rPr>
        <w:t>; Smitherman testimony</w:t>
      </w:r>
      <w:r w:rsidR="008004CD">
        <w:rPr>
          <w:bCs/>
        </w:rPr>
        <w:t>, Tr. 7:2109:5-</w:t>
      </w:r>
      <w:r w:rsidR="00B853E4">
        <w:rPr>
          <w:bCs/>
        </w:rPr>
        <w:t>18.</w:t>
      </w:r>
    </w:p>
    <w:p w14:paraId="55C5A0BE" w14:textId="159CCF97" w:rsidR="00B02F67" w:rsidRDefault="00B02F67" w:rsidP="00B02F67">
      <w:pPr>
        <w:spacing w:after="0" w:line="480" w:lineRule="auto"/>
        <w:jc w:val="both"/>
        <w:rPr>
          <w:bCs/>
        </w:rPr>
      </w:pPr>
      <w:r>
        <w:rPr>
          <w:bCs/>
        </w:rPr>
        <w:tab/>
        <w:t xml:space="preserve">In addition to requesting a production-based approach, other stakeholders propose measures to increase the stringency of the proposal. These measures would require owners and operators to achieve a fixed increase in the percentage of non-emitting controllers rather than attain a fixed point, require gas driven controllers at gas processing plants or transmission compressor </w:t>
      </w:r>
      <w:r>
        <w:rPr>
          <w:bCs/>
        </w:rPr>
        <w:lastRenderedPageBreak/>
        <w:t xml:space="preserve">stations to be converted to non-emitting within six months, accelerate the timeline so that all retrofits occur by 2025 rather than 2030, and remove the early action incentive in NMED’s proposal. The rationale provided for these changes boils down to Colorado took a similar approach, so New Mexico should too. For the reasons outlined above, New Mexico is not Colorado, and the approach taken by another jurisdiction with different challenges and opportunities has little bearing on what’s right for New Mexico.  </w:t>
      </w:r>
      <w:r w:rsidR="00AE5752">
        <w:rPr>
          <w:bCs/>
        </w:rPr>
        <w:t>These requirements are often not technically or economically feasible and place strains on both the companies and supply chains.  Smitherman testimony, Tr. 7:</w:t>
      </w:r>
      <w:r w:rsidR="003B118A">
        <w:rPr>
          <w:bCs/>
        </w:rPr>
        <w:t>2109:</w:t>
      </w:r>
      <w:r w:rsidR="00307D7F">
        <w:rPr>
          <w:bCs/>
        </w:rPr>
        <w:t xml:space="preserve">14-7:2110:4.  </w:t>
      </w:r>
      <w:r>
        <w:rPr>
          <w:bCs/>
        </w:rPr>
        <w:t xml:space="preserve">In addition, the only concrete evidence offered </w:t>
      </w:r>
      <w:proofErr w:type="gramStart"/>
      <w:r>
        <w:rPr>
          <w:bCs/>
        </w:rPr>
        <w:t>by  Dr.</w:t>
      </w:r>
      <w:proofErr w:type="gramEnd"/>
      <w:r>
        <w:rPr>
          <w:bCs/>
        </w:rPr>
        <w:t xml:space="preserve"> McCabe for the six-month proposal was that natural gas processing plants were able to achieve this within 6 months in Colorado.  </w:t>
      </w:r>
      <w:r w:rsidR="00A9209F">
        <w:rPr>
          <w:bCs/>
        </w:rPr>
        <w:t>McCabe</w:t>
      </w:r>
      <w:r w:rsidR="0072253D">
        <w:rPr>
          <w:bCs/>
        </w:rPr>
        <w:t xml:space="preserve"> testimony, Tr. 7:</w:t>
      </w:r>
      <w:r w:rsidR="00E86D1D">
        <w:rPr>
          <w:bCs/>
        </w:rPr>
        <w:t>2076</w:t>
      </w:r>
      <w:r w:rsidR="0072253D">
        <w:rPr>
          <w:bCs/>
        </w:rPr>
        <w:t>:</w:t>
      </w:r>
      <w:r w:rsidR="00567B9A">
        <w:rPr>
          <w:bCs/>
        </w:rPr>
        <w:t>14-</w:t>
      </w:r>
      <w:r w:rsidR="00546365">
        <w:rPr>
          <w:bCs/>
        </w:rPr>
        <w:t>17</w:t>
      </w:r>
      <w:r w:rsidR="003601E5">
        <w:rPr>
          <w:bCs/>
        </w:rPr>
        <w:t xml:space="preserve">; </w:t>
      </w:r>
      <w:r w:rsidR="004725A9">
        <w:rPr>
          <w:bCs/>
        </w:rPr>
        <w:t>Smitherman testimony, Tr. 7:2108:11-</w:t>
      </w:r>
      <w:proofErr w:type="gramStart"/>
      <w:r w:rsidR="00835509">
        <w:rPr>
          <w:bCs/>
        </w:rPr>
        <w:t>23.</w:t>
      </w:r>
      <w:r>
        <w:rPr>
          <w:bCs/>
        </w:rPr>
        <w:t>.</w:t>
      </w:r>
      <w:proofErr w:type="gramEnd"/>
      <w:r>
        <w:rPr>
          <w:bCs/>
        </w:rPr>
        <w:t xml:space="preserve">  But as </w:t>
      </w:r>
      <w:r w:rsidR="00C3524A">
        <w:rPr>
          <w:bCs/>
        </w:rPr>
        <w:t>Dr. McCabe conceded and</w:t>
      </w:r>
      <w:r>
        <w:rPr>
          <w:bCs/>
        </w:rPr>
        <w:t xml:space="preserve"> other witnesses noted, natural gas processing plants are large facilities </w:t>
      </w:r>
      <w:r w:rsidR="00AB51D1">
        <w:rPr>
          <w:bCs/>
        </w:rPr>
        <w:t>with electric power</w:t>
      </w:r>
      <w:r>
        <w:rPr>
          <w:bCs/>
        </w:rPr>
        <w:t xml:space="preserve"> that are relatively </w:t>
      </w:r>
      <w:proofErr w:type="gramStart"/>
      <w:r>
        <w:rPr>
          <w:bCs/>
        </w:rPr>
        <w:t>few in number</w:t>
      </w:r>
      <w:proofErr w:type="gramEnd"/>
      <w:r>
        <w:rPr>
          <w:bCs/>
        </w:rPr>
        <w:t xml:space="preserve"> and were not caught up in the pandemic’s supply chain snarls.  </w:t>
      </w:r>
      <w:r w:rsidR="0062413C">
        <w:rPr>
          <w:bCs/>
        </w:rPr>
        <w:t>McCabe testimony, Tr. 7:2076:</w:t>
      </w:r>
      <w:r w:rsidR="00D67A40">
        <w:rPr>
          <w:bCs/>
        </w:rPr>
        <w:t>14</w:t>
      </w:r>
      <w:r w:rsidR="0090286E">
        <w:rPr>
          <w:bCs/>
        </w:rPr>
        <w:t>-17.</w:t>
      </w:r>
      <w:r w:rsidR="001E3532">
        <w:rPr>
          <w:bCs/>
        </w:rPr>
        <w:t xml:space="preserve">  There is no compelling evidence in the record that a faster transition is possible and a lot of testimony why it is not given New Mexico’s starting point and pandemic impacts</w:t>
      </w:r>
      <w:r>
        <w:rPr>
          <w:bCs/>
        </w:rPr>
        <w:t>.</w:t>
      </w:r>
    </w:p>
    <w:p w14:paraId="19B48466" w14:textId="7B7010BE" w:rsidR="00B02F67" w:rsidRDefault="00B02F67" w:rsidP="00B02F67">
      <w:pPr>
        <w:spacing w:after="0" w:line="480" w:lineRule="auto"/>
        <w:jc w:val="both"/>
        <w:rPr>
          <w:sz w:val="23"/>
          <w:szCs w:val="23"/>
        </w:rPr>
      </w:pPr>
      <w:r>
        <w:rPr>
          <w:b/>
        </w:rPr>
        <w:tab/>
      </w:r>
      <w:r>
        <w:rPr>
          <w:bCs/>
        </w:rPr>
        <w:t xml:space="preserve">Requiring retrofit at gas processing plants and transmission compressor stations within six months is also infeasible and unnecessary. Multiple witnesses with direct experience designing systems, planning retrofits, and grappling with current supply chain issues testified that this proposal is unrealistic. </w:t>
      </w:r>
      <w:r>
        <w:rPr>
          <w:bCs/>
          <w:i/>
          <w:iCs/>
        </w:rPr>
        <w:t xml:space="preserve">See, e.g., </w:t>
      </w:r>
      <w:r w:rsidR="0006617C">
        <w:rPr>
          <w:bCs/>
        </w:rPr>
        <w:t>Tr. 7:</w:t>
      </w:r>
      <w:r w:rsidR="000E4B22">
        <w:rPr>
          <w:bCs/>
        </w:rPr>
        <w:t>2108:11-23;</w:t>
      </w:r>
      <w:r>
        <w:rPr>
          <w:bCs/>
        </w:rPr>
        <w:t xml:space="preserve"> 2214:14-18; 2283:1-8; 2284:9 – 2285:25.  Requiring phaseout to be completed by 2025 similarly presents logistical challenges. More importantly, as Mr. McNally testified, “</w:t>
      </w:r>
      <w:r>
        <w:rPr>
          <w:sz w:val="23"/>
          <w:szCs w:val="23"/>
        </w:rPr>
        <w:t xml:space="preserve">The earlier imposition of VOC controls would have little impact on ozone levels in NM.” NMOGA Exhibit 45, at 8. </w:t>
      </w:r>
    </w:p>
    <w:p w14:paraId="3D47FBB2" w14:textId="0EBAAA13" w:rsidR="00B02F67" w:rsidRDefault="00B02F67" w:rsidP="00B02F67">
      <w:pPr>
        <w:spacing w:after="0" w:line="480" w:lineRule="auto"/>
        <w:jc w:val="both"/>
      </w:pPr>
      <w:r>
        <w:rPr>
          <w:sz w:val="23"/>
          <w:szCs w:val="23"/>
        </w:rPr>
        <w:tab/>
        <w:t xml:space="preserve">Finally, these proposals should be rejected because NMED is requiring owners and operators to apply leak detection and repair measures to pneumatic controllers and pumps, a measure that </w:t>
      </w:r>
      <w:r>
        <w:rPr>
          <w:sz w:val="23"/>
          <w:szCs w:val="23"/>
        </w:rPr>
        <w:lastRenderedPageBreak/>
        <w:t>significantly reduces the urgency of phaseout. NMED Rebuttal Exhibit 23, 20.2.50.116.C NMAC.  Multiple witnesses testified that there are “</w:t>
      </w:r>
      <w:r w:rsidRPr="00CB2495">
        <w:rPr>
          <w:sz w:val="23"/>
          <w:szCs w:val="23"/>
        </w:rPr>
        <w:t>significant emissions from</w:t>
      </w:r>
      <w:r>
        <w:rPr>
          <w:sz w:val="23"/>
          <w:szCs w:val="23"/>
        </w:rPr>
        <w:t xml:space="preserve"> </w:t>
      </w:r>
      <w:r w:rsidRPr="00CB2495">
        <w:rPr>
          <w:sz w:val="23"/>
          <w:szCs w:val="23"/>
        </w:rPr>
        <w:t>malfunctioning gas-powered pneumatic controllers</w:t>
      </w:r>
      <w:r>
        <w:rPr>
          <w:sz w:val="23"/>
          <w:szCs w:val="23"/>
        </w:rPr>
        <w:t xml:space="preserve">” and that applying LDAR to these devices would reduce emissions from these malfunction events. </w:t>
      </w:r>
      <w:r>
        <w:rPr>
          <w:i/>
          <w:iCs/>
          <w:sz w:val="23"/>
          <w:szCs w:val="23"/>
        </w:rPr>
        <w:t xml:space="preserve">See, e.g., </w:t>
      </w:r>
      <w:r w:rsidR="0006617C">
        <w:rPr>
          <w:sz w:val="23"/>
          <w:szCs w:val="23"/>
        </w:rPr>
        <w:t xml:space="preserve">Tr. </w:t>
      </w:r>
      <w:r>
        <w:rPr>
          <w:sz w:val="23"/>
          <w:szCs w:val="23"/>
        </w:rPr>
        <w:t xml:space="preserve">7:60:6-9; 7:2224:8-24. </w:t>
      </w:r>
      <w:r>
        <w:rPr>
          <w:bCs/>
        </w:rPr>
        <w:t>If these malfunctioning devices are being identified and repaired, then New Mexico has less to gain by hastening their replacement.</w:t>
      </w:r>
      <w:r w:rsidR="0006617C">
        <w:rPr>
          <w:bCs/>
        </w:rPr>
        <w:t xml:space="preserve"> Tr.</w:t>
      </w:r>
      <w:r>
        <w:rPr>
          <w:bCs/>
        </w:rPr>
        <w:t xml:space="preserve"> 7:2275:4-14. Because NMED’s original pneumatics proposal did not contemplate imposing LDAR on pneumatic controllers, its cost-per-ton analysis did not consider emissions reductions attributable to LDAR. </w:t>
      </w:r>
      <w:r>
        <w:rPr>
          <w:bCs/>
          <w:i/>
          <w:iCs/>
        </w:rPr>
        <w:t xml:space="preserve">See </w:t>
      </w:r>
      <w:r>
        <w:rPr>
          <w:bCs/>
        </w:rPr>
        <w:t>NMED Exhibit 95. Consequently, when NMED adopted the pneumatic LDAR proposal</w:t>
      </w:r>
      <w:r w:rsidR="00EC4B40">
        <w:rPr>
          <w:bCs/>
        </w:rPr>
        <w:t xml:space="preserve">, it should have </w:t>
      </w:r>
      <w:r>
        <w:rPr>
          <w:bCs/>
        </w:rPr>
        <w:t>updat</w:t>
      </w:r>
      <w:r w:rsidR="00EC4B40">
        <w:rPr>
          <w:bCs/>
        </w:rPr>
        <w:t>ed</w:t>
      </w:r>
      <w:r>
        <w:rPr>
          <w:bCs/>
        </w:rPr>
        <w:t xml:space="preserve"> its cost-per-ton analysis</w:t>
      </w:r>
      <w:r w:rsidR="00853FFD">
        <w:rPr>
          <w:bCs/>
        </w:rPr>
        <w:t xml:space="preserve"> to include consideration of the LDAR costs and tons reduced</w:t>
      </w:r>
      <w:r w:rsidR="004E3B05">
        <w:rPr>
          <w:bCs/>
        </w:rPr>
        <w:t xml:space="preserve"> before calculating the phase out costs and tons reduced, whi</w:t>
      </w:r>
      <w:r w:rsidR="000D7642">
        <w:rPr>
          <w:bCs/>
        </w:rPr>
        <w:t xml:space="preserve">ch would be less.  </w:t>
      </w:r>
      <w:r>
        <w:rPr>
          <w:bCs/>
        </w:rPr>
        <w:t xml:space="preserve">Eliminating this error significantly decreases the cost-effectiveness of the retrofit requirements and counsels against increasing the stringency of the proposal. </w:t>
      </w:r>
    </w:p>
    <w:p w14:paraId="0D8FAFD0" w14:textId="77777777" w:rsidR="00B02F67" w:rsidRDefault="00B02F67" w:rsidP="00B02F67">
      <w:pPr>
        <w:spacing w:after="0" w:line="480" w:lineRule="auto"/>
        <w:jc w:val="both"/>
      </w:pPr>
      <w:r>
        <w:rPr>
          <w:bCs/>
        </w:rPr>
        <w:tab/>
        <w:t>While NMOGA is supportive of NMED’s LDAR proposal, there are some changes that are needed to make it more workable.  In suggesting these changes, NMOGA is not trying to change the stringency of the program, just make it more workable and clearer in application.</w:t>
      </w:r>
    </w:p>
    <w:p w14:paraId="5C58715D" w14:textId="3ACCB244" w:rsidR="00B02F67" w:rsidRDefault="00B02F67" w:rsidP="00B02F67">
      <w:pPr>
        <w:spacing w:after="0" w:line="480" w:lineRule="auto"/>
        <w:jc w:val="both"/>
        <w:rPr>
          <w:bCs/>
        </w:rPr>
      </w:pPr>
      <w:r>
        <w:rPr>
          <w:bCs/>
        </w:rPr>
        <w:tab/>
        <w:t>First, all the discussions of the pneumatics program were premised upon units being subject either to Table 1 or Table 2 in 20.2.50.122.B.(3).  The compliance methodology in paragraph (4)(b), however, applies to all pneumatic controllers and does not distinguish between the tables.  NMOGA believes this is a drafting oversight as only sources subject to each Table should be assessed for that table.  NMOGA has proposed language to address this oversight in the redline below and attached.</w:t>
      </w:r>
      <w:r w:rsidR="00C90467">
        <w:rPr>
          <w:bCs/>
        </w:rPr>
        <w:t xml:space="preserve">  After discussion between NMOGA and NMED counsel, NMOGA understands that NMED</w:t>
      </w:r>
      <w:r w:rsidR="00E954CF">
        <w:rPr>
          <w:bCs/>
        </w:rPr>
        <w:t xml:space="preserve"> agrees that its proposal was meant to apply on a “table” basis</w:t>
      </w:r>
      <w:r w:rsidR="0046359C">
        <w:rPr>
          <w:bCs/>
        </w:rPr>
        <w:t xml:space="preserve"> and agrees with the concepts set forth in the NMOGA redline.</w:t>
      </w:r>
    </w:p>
    <w:p w14:paraId="4801DC78" w14:textId="2A1B5832" w:rsidR="00B02F67" w:rsidRDefault="00B02F67" w:rsidP="00B02F67">
      <w:pPr>
        <w:spacing w:after="0" w:line="480" w:lineRule="auto"/>
        <w:jc w:val="both"/>
        <w:rPr>
          <w:bCs/>
        </w:rPr>
      </w:pPr>
      <w:r>
        <w:rPr>
          <w:bCs/>
        </w:rPr>
        <w:lastRenderedPageBreak/>
        <w:tab/>
        <w:t xml:space="preserve">Second, both NMED and NMOGA have discussed the importance of pneumatic controllers “necessary for safety and process reasons,” which NMED has proposed to exclude from the program upon a written demonstration.  </w:t>
      </w:r>
      <w:r>
        <w:rPr>
          <w:bCs/>
          <w:i/>
          <w:iCs/>
        </w:rPr>
        <w:t>See</w:t>
      </w:r>
      <w:r>
        <w:rPr>
          <w:bCs/>
        </w:rPr>
        <w:t xml:space="preserve"> 20.2.50.122.B.(4)(b)(</w:t>
      </w:r>
      <w:proofErr w:type="spellStart"/>
      <w:r>
        <w:rPr>
          <w:bCs/>
        </w:rPr>
        <w:t>i</w:t>
      </w:r>
      <w:proofErr w:type="spellEnd"/>
      <w:r>
        <w:rPr>
          <w:bCs/>
        </w:rPr>
        <w:t xml:space="preserve">), </w:t>
      </w:r>
      <w:proofErr w:type="gramStart"/>
      <w:r>
        <w:rPr>
          <w:bCs/>
        </w:rPr>
        <w:t>D.(</w:t>
      </w:r>
      <w:proofErr w:type="gramEnd"/>
      <w:r>
        <w:rPr>
          <w:bCs/>
        </w:rPr>
        <w:t>6); Kuehn testimony, Tr. 7:2041:1-5.  While all parties likely agree with Ms. Kuehn that it would be “ideal” if these units were identified prior to the start of the program, the reality is that it won’t happen. To protect both the ability to maintain these units and the phase out</w:t>
      </w:r>
      <w:r w:rsidR="0033757E">
        <w:rPr>
          <w:bCs/>
        </w:rPr>
        <w:t xml:space="preserve"> schedule</w:t>
      </w:r>
      <w:r>
        <w:rPr>
          <w:bCs/>
        </w:rPr>
        <w:t xml:space="preserve">, NMOGA proposes to rename the initial “total controller count” used to determine the phase out requirements as the “total </w:t>
      </w:r>
      <w:r>
        <w:rPr>
          <w:bCs/>
          <w:u w:val="single"/>
        </w:rPr>
        <w:t>historic</w:t>
      </w:r>
      <w:r>
        <w:rPr>
          <w:bCs/>
        </w:rPr>
        <w:t xml:space="preserve"> controller count” so that neither it nor the phase out requirements </w:t>
      </w:r>
      <w:r w:rsidR="004F79F2">
        <w:rPr>
          <w:bCs/>
        </w:rPr>
        <w:t xml:space="preserve">applicable to an owner/operator </w:t>
      </w:r>
      <w:r>
        <w:rPr>
          <w:bCs/>
        </w:rPr>
        <w:t xml:space="preserve">are affected by subsequent identification of controllers necessary for safety or process reasons.  </w:t>
      </w:r>
      <w:r w:rsidR="001564EF">
        <w:rPr>
          <w:bCs/>
        </w:rPr>
        <w:t>NMOGA understands that NMED agrees with this concept as well.</w:t>
      </w:r>
    </w:p>
    <w:p w14:paraId="0A73BFB7" w14:textId="5B89E3B6" w:rsidR="00B02F67" w:rsidRDefault="00B02F67" w:rsidP="00B02F67">
      <w:pPr>
        <w:spacing w:after="0" w:line="480" w:lineRule="auto"/>
        <w:jc w:val="both"/>
      </w:pPr>
      <w:r>
        <w:rPr>
          <w:bCs/>
        </w:rPr>
        <w:tab/>
        <w:t>Third, and most importantly, the rule does not provide how compliance with the phase out schedule will be demonstrated on the January 1, 2024, January 1, 2027</w:t>
      </w:r>
      <w:r w:rsidR="00B02857">
        <w:rPr>
          <w:bCs/>
        </w:rPr>
        <w:t>,</w:t>
      </w:r>
      <w:r>
        <w:rPr>
          <w:bCs/>
        </w:rPr>
        <w:t xml:space="preserve"> and January 1, </w:t>
      </w:r>
      <w:proofErr w:type="gramStart"/>
      <w:r>
        <w:rPr>
          <w:bCs/>
        </w:rPr>
        <w:t>2030</w:t>
      </w:r>
      <w:proofErr w:type="gramEnd"/>
      <w:r>
        <w:rPr>
          <w:bCs/>
        </w:rPr>
        <w:t xml:space="preserve"> compliance dates.  It is clear from the testimony of all parties that even though Table 1 and Table 2 are</w:t>
      </w:r>
      <w:r w:rsidDel="0078625C">
        <w:rPr>
          <w:bCs/>
        </w:rPr>
        <w:t xml:space="preserve"> </w:t>
      </w:r>
      <w:r>
        <w:rPr>
          <w:bCs/>
        </w:rPr>
        <w:t>phrased “Total Required Percentage of Non-Emitting Controllers by [date]”</w:t>
      </w:r>
      <w:r w:rsidDel="0078625C">
        <w:rPr>
          <w:bCs/>
        </w:rPr>
        <w:t xml:space="preserve"> </w:t>
      </w:r>
      <w:r>
        <w:rPr>
          <w:bCs/>
        </w:rPr>
        <w:t>that the real focus is on replacing natural gas driven controllers</w:t>
      </w:r>
      <w:r>
        <w:rPr>
          <w:bCs/>
        </w:rPr>
        <w:tab/>
        <w:t>with non-emitting ones or eliminating the natural gas driven controllers entirely, without replacement.  Both replacement and elimination achieve</w:t>
      </w:r>
      <w:r w:rsidDel="0078625C">
        <w:rPr>
          <w:bCs/>
        </w:rPr>
        <w:t xml:space="preserve"> </w:t>
      </w:r>
      <w:r>
        <w:rPr>
          <w:bCs/>
        </w:rPr>
        <w:t>the goal of reducing emissions.  For purposes of demonstrating compliance on January 1, 2024, 2027 and 2030, NMOGA thus proposes that owners/operators will track the number of emitting controllers subject to each table, calculate a percentage of emitting controllers by dividing that total by the total historic controller count for that table, multiply by 100 to make a percent, and then subtract that percent from 100, which gives the “Percentage of Non-Emitting Controllers” required to assess whether the required reduction has occurred.  This approach is consistent with NMED’s proposal, which states that records of non-emitting controllers are not required</w:t>
      </w:r>
      <w:r w:rsidDel="0078625C">
        <w:rPr>
          <w:bCs/>
        </w:rPr>
        <w:t xml:space="preserve"> </w:t>
      </w:r>
      <w:r>
        <w:rPr>
          <w:bCs/>
        </w:rPr>
        <w:t xml:space="preserve">(see </w:t>
      </w:r>
      <w:r>
        <w:rPr>
          <w:bCs/>
        </w:rPr>
        <w:lastRenderedPageBreak/>
        <w:t>20.2.50.122.C.(1) and 20.2.50.122.D.(1)</w:t>
      </w:r>
      <w:r w:rsidR="009C1681">
        <w:rPr>
          <w:bCs/>
        </w:rPr>
        <w:t>)</w:t>
      </w:r>
      <w:r w:rsidDel="0078625C">
        <w:rPr>
          <w:bCs/>
        </w:rPr>
        <w:t xml:space="preserve"> </w:t>
      </w:r>
      <w:r>
        <w:rPr>
          <w:bCs/>
        </w:rPr>
        <w:t>and has the added benefit of focusing on reductions in the number of emitting controllers, the real issue, rather than addition of non-emitting controllers.</w:t>
      </w:r>
      <w:r w:rsidDel="0078625C">
        <w:rPr>
          <w:bCs/>
        </w:rPr>
        <w:t xml:space="preserve">  </w:t>
      </w:r>
      <w:r>
        <w:rPr>
          <w:bCs/>
        </w:rPr>
        <w:t xml:space="preserve">NMOGA’s language to achieve this is found in new proposed 20.2.50.122.B.(4)(c).  </w:t>
      </w:r>
      <w:r w:rsidR="00B319E2">
        <w:rPr>
          <w:bCs/>
        </w:rPr>
        <w:t>NMOGA</w:t>
      </w:r>
      <w:r w:rsidR="004104D3">
        <w:rPr>
          <w:bCs/>
        </w:rPr>
        <w:t xml:space="preserve"> has circulated this proposal to NMED and understands that NMED supports this concept.</w:t>
      </w:r>
    </w:p>
    <w:p w14:paraId="158E73F9" w14:textId="312EC921" w:rsidR="00B02F67" w:rsidRPr="00CB2495" w:rsidRDefault="00B02F67" w:rsidP="00B02F67">
      <w:pPr>
        <w:spacing w:after="0" w:line="480" w:lineRule="auto"/>
        <w:jc w:val="both"/>
        <w:rPr>
          <w:sz w:val="23"/>
          <w:szCs w:val="23"/>
        </w:rPr>
      </w:pPr>
      <w:r>
        <w:rPr>
          <w:bCs/>
        </w:rPr>
        <w:tab/>
        <w:t>Finally, NMOGA believes it is critical to enshrine in the rule language Ms. Kuehn’s statement that the rule does not treat replacement of a natural gas drive</w:t>
      </w:r>
      <w:r w:rsidR="0035139E">
        <w:rPr>
          <w:bCs/>
        </w:rPr>
        <w:t>n</w:t>
      </w:r>
      <w:r>
        <w:rPr>
          <w:bCs/>
        </w:rPr>
        <w:t xml:space="preserve"> controller at an existing facility as a “new” controller, but rather as an existing controller.  Kuehn testimony, Tr. 7:2039:12-17.  This provision is critical to the orderly phase out of controllers.  If a controller failure and replacement triggered the “new” requirements, the owners and operators would be forced into unplanned conversions of entire facilities because it is not cost effective to retrofit a single controller.  </w:t>
      </w:r>
      <w:r w:rsidR="00FB5BB7">
        <w:rPr>
          <w:bCs/>
        </w:rPr>
        <w:t>Bisbey-Kuehn</w:t>
      </w:r>
      <w:r>
        <w:rPr>
          <w:bCs/>
        </w:rPr>
        <w:t xml:space="preserve"> testimony, Tr. </w:t>
      </w:r>
      <w:r w:rsidR="00FB5BB7" w:rsidRPr="00FB5BB7">
        <w:rPr>
          <w:bCs/>
        </w:rPr>
        <w:t>7:2039:12-17</w:t>
      </w:r>
      <w:r w:rsidR="00DB6171">
        <w:rPr>
          <w:bCs/>
        </w:rPr>
        <w:t>;</w:t>
      </w:r>
      <w:r w:rsidR="00A633A7">
        <w:rPr>
          <w:bCs/>
        </w:rPr>
        <w:t xml:space="preserve"> McCabe testimony, Tr. </w:t>
      </w:r>
      <w:r w:rsidR="00D00037">
        <w:rPr>
          <w:bCs/>
        </w:rPr>
        <w:t>7:2092:</w:t>
      </w:r>
      <w:r w:rsidR="009C3E55">
        <w:rPr>
          <w:bCs/>
        </w:rPr>
        <w:t>7-11</w:t>
      </w:r>
      <w:r>
        <w:rPr>
          <w:bCs/>
        </w:rPr>
        <w:t>.  NMOGA urges the Board to include this change to 20.2.50.122.B.(4)(a) to ensure the workability of the final rule.</w:t>
      </w:r>
    </w:p>
    <w:p w14:paraId="1503DC8B" w14:textId="77777777" w:rsidR="00B02F67" w:rsidRDefault="00B02F67" w:rsidP="00B02F67">
      <w:pPr>
        <w:spacing w:after="0" w:line="480" w:lineRule="auto"/>
        <w:jc w:val="both"/>
        <w:rPr>
          <w:sz w:val="23"/>
          <w:szCs w:val="23"/>
        </w:rPr>
      </w:pPr>
      <w:r>
        <w:rPr>
          <w:bCs/>
        </w:rPr>
        <w:tab/>
        <w:t xml:space="preserve">For these reasons, the Board should adopt the NMED proposal, with the minor workability changes noted above, and reject proposals by other stakeholders to impose more onerous phaseout requirements. </w:t>
      </w:r>
    </w:p>
    <w:p w14:paraId="5030861B" w14:textId="77777777" w:rsidR="00B02F67" w:rsidRPr="00661096" w:rsidRDefault="00B02F67" w:rsidP="00661096">
      <w:pPr>
        <w:pStyle w:val="Heading2"/>
      </w:pPr>
      <w:bookmarkStart w:id="16" w:name="_Toc93563260"/>
      <w:r w:rsidRPr="00661096">
        <w:t xml:space="preserve">Storage Vessels, 20.2.50.123 NMAC. The Board Should Adopt NMED’s Storage Vessel Proposal, </w:t>
      </w:r>
      <w:proofErr w:type="gramStart"/>
      <w:r w:rsidRPr="00661096">
        <w:t>Except</w:t>
      </w:r>
      <w:proofErr w:type="gramEnd"/>
      <w:r w:rsidRPr="00661096">
        <w:t xml:space="preserve"> that The Threshold for Existing Single Storage Vessels Should Be Increased to 6 TPY.</w:t>
      </w:r>
      <w:bookmarkEnd w:id="16"/>
      <w:r w:rsidRPr="00661096">
        <w:t xml:space="preserve"> </w:t>
      </w:r>
    </w:p>
    <w:p w14:paraId="709589D4" w14:textId="7616883A" w:rsidR="00B02F67" w:rsidRDefault="00B02F67" w:rsidP="00B02F67">
      <w:pPr>
        <w:spacing w:after="0" w:line="480" w:lineRule="auto"/>
        <w:ind w:firstLine="720"/>
        <w:jc w:val="both"/>
        <w:rPr>
          <w:bCs/>
        </w:rPr>
      </w:pPr>
      <w:r>
        <w:rPr>
          <w:bCs/>
        </w:rPr>
        <w:t xml:space="preserve">NMOGA generally supports the Department’s proposal for controlling storage vessels under 20.2.50.123 NMAC. NMOGA’s primary remaining concern at the close of hearing was the proposed 3 </w:t>
      </w:r>
      <w:proofErr w:type="spellStart"/>
      <w:r>
        <w:rPr>
          <w:bCs/>
        </w:rPr>
        <w:t>tpy</w:t>
      </w:r>
      <w:proofErr w:type="spellEnd"/>
      <w:r>
        <w:rPr>
          <w:bCs/>
        </w:rPr>
        <w:t xml:space="preserve"> applicability threshold for existing single tank. As the evidence demonstrates, there are critical differences between single tank</w:t>
      </w:r>
      <w:r w:rsidR="00C832A4">
        <w:rPr>
          <w:bCs/>
        </w:rPr>
        <w:t>s</w:t>
      </w:r>
      <w:r>
        <w:rPr>
          <w:bCs/>
        </w:rPr>
        <w:t xml:space="preserve"> and multi-tank batteries that make regulation at the 3 </w:t>
      </w:r>
      <w:proofErr w:type="spellStart"/>
      <w:r>
        <w:rPr>
          <w:bCs/>
        </w:rPr>
        <w:lastRenderedPageBreak/>
        <w:t>tpy</w:t>
      </w:r>
      <w:proofErr w:type="spellEnd"/>
      <w:r>
        <w:rPr>
          <w:bCs/>
        </w:rPr>
        <w:t xml:space="preserve"> threshold economically unreasonable. After further discussion with NMED and review of the technical evidence, NMED has proposed a 4 </w:t>
      </w:r>
      <w:proofErr w:type="spellStart"/>
      <w:r>
        <w:rPr>
          <w:bCs/>
        </w:rPr>
        <w:t>tpy</w:t>
      </w:r>
      <w:proofErr w:type="spellEnd"/>
      <w:r>
        <w:rPr>
          <w:bCs/>
        </w:rPr>
        <w:t xml:space="preserve"> threshold for these tanks in its latest draft, which is positive movement. NMOGA continues to believe that a 6 </w:t>
      </w:r>
      <w:proofErr w:type="spellStart"/>
      <w:r>
        <w:rPr>
          <w:bCs/>
        </w:rPr>
        <w:t>tpy</w:t>
      </w:r>
      <w:proofErr w:type="spellEnd"/>
      <w:r>
        <w:rPr>
          <w:bCs/>
        </w:rPr>
        <w:t xml:space="preserve"> threshold is appropriate for these tanks. </w:t>
      </w:r>
    </w:p>
    <w:p w14:paraId="33D589EB" w14:textId="5974FD8C" w:rsidR="00B02F67" w:rsidRDefault="00B02F67" w:rsidP="00B02F67">
      <w:pPr>
        <w:spacing w:after="0" w:line="480" w:lineRule="auto"/>
        <w:ind w:firstLine="720"/>
        <w:jc w:val="both"/>
        <w:rPr>
          <w:bCs/>
        </w:rPr>
      </w:pPr>
      <w:r>
        <w:rPr>
          <w:bCs/>
        </w:rPr>
        <w:t xml:space="preserve">According to the testimony of </w:t>
      </w:r>
      <w:r w:rsidR="00182E02">
        <w:rPr>
          <w:bCs/>
        </w:rPr>
        <w:t>Mr.</w:t>
      </w:r>
      <w:r>
        <w:rPr>
          <w:bCs/>
        </w:rPr>
        <w:t xml:space="preserve"> Meyer, unlike multi-tank batteries, single tank batteries have limited</w:t>
      </w:r>
      <w:r w:rsidRPr="00D34EFE">
        <w:rPr>
          <w:bCs/>
        </w:rPr>
        <w:t xml:space="preserve"> headspace</w:t>
      </w:r>
      <w:r>
        <w:rPr>
          <w:bCs/>
        </w:rPr>
        <w:t xml:space="preserve"> to allow accumulation of vapors. Whereas multi-tank batteries have adequate headspace to allow</w:t>
      </w:r>
      <w:r w:rsidRPr="00D34EFE">
        <w:rPr>
          <w:bCs/>
        </w:rPr>
        <w:t xml:space="preserve"> pressure</w:t>
      </w:r>
      <w:r>
        <w:rPr>
          <w:bCs/>
        </w:rPr>
        <w:t xml:space="preserve"> buildup</w:t>
      </w:r>
      <w:r w:rsidRPr="00D34EFE">
        <w:rPr>
          <w:bCs/>
        </w:rPr>
        <w:t xml:space="preserve"> within the tank </w:t>
      </w:r>
      <w:r>
        <w:rPr>
          <w:bCs/>
        </w:rPr>
        <w:t>as emissions are slowly processed</w:t>
      </w:r>
      <w:r w:rsidRPr="00D34EFE">
        <w:rPr>
          <w:bCs/>
        </w:rPr>
        <w:t xml:space="preserve"> through the control</w:t>
      </w:r>
      <w:r>
        <w:rPr>
          <w:bCs/>
        </w:rPr>
        <w:t>, a single-tank battery’s control must be able to process</w:t>
      </w:r>
      <w:r w:rsidRPr="00D34EFE">
        <w:rPr>
          <w:bCs/>
        </w:rPr>
        <w:t xml:space="preserve"> displaced </w:t>
      </w:r>
      <w:r>
        <w:rPr>
          <w:bCs/>
        </w:rPr>
        <w:t>vapors entering the headspace</w:t>
      </w:r>
      <w:r w:rsidRPr="00D34EFE">
        <w:rPr>
          <w:bCs/>
        </w:rPr>
        <w:t xml:space="preserve"> immediately through the control </w:t>
      </w:r>
      <w:r>
        <w:rPr>
          <w:bCs/>
        </w:rPr>
        <w:t>device</w:t>
      </w:r>
      <w:r w:rsidRPr="00D34EFE">
        <w:rPr>
          <w:bCs/>
        </w:rPr>
        <w:t xml:space="preserve">. </w:t>
      </w:r>
      <w:r>
        <w:rPr>
          <w:bCs/>
        </w:rPr>
        <w:t>This behavior demands that owners and operators install</w:t>
      </w:r>
      <w:r w:rsidRPr="00D34EFE">
        <w:rPr>
          <w:bCs/>
        </w:rPr>
        <w:t xml:space="preserve"> larger, more expensive combustors</w:t>
      </w:r>
      <w:r>
        <w:rPr>
          <w:bCs/>
        </w:rPr>
        <w:t xml:space="preserve"> on single tank batteries than would otherwise be required</w:t>
      </w:r>
      <w:r w:rsidRPr="00D34EFE">
        <w:rPr>
          <w:bCs/>
        </w:rPr>
        <w:t xml:space="preserve">. </w:t>
      </w:r>
      <w:r>
        <w:rPr>
          <w:bCs/>
          <w:i/>
          <w:iCs/>
        </w:rPr>
        <w:t xml:space="preserve">See generally </w:t>
      </w:r>
      <w:r w:rsidR="0006617C">
        <w:rPr>
          <w:bCs/>
        </w:rPr>
        <w:t>Tr.</w:t>
      </w:r>
      <w:r w:rsidRPr="00D34EFE">
        <w:rPr>
          <w:bCs/>
        </w:rPr>
        <w:t xml:space="preserve"> </w:t>
      </w:r>
      <w:r>
        <w:rPr>
          <w:bCs/>
        </w:rPr>
        <w:t>9:</w:t>
      </w:r>
      <w:r w:rsidRPr="00D34EFE">
        <w:rPr>
          <w:bCs/>
        </w:rPr>
        <w:t>2907:7- 24</w:t>
      </w:r>
      <w:r>
        <w:rPr>
          <w:bCs/>
        </w:rPr>
        <w:t>;</w:t>
      </w:r>
      <w:r w:rsidRPr="00D34EFE">
        <w:rPr>
          <w:bCs/>
        </w:rPr>
        <w:t xml:space="preserve"> 2912:11</w:t>
      </w:r>
      <w:r>
        <w:rPr>
          <w:bCs/>
        </w:rPr>
        <w:t>-</w:t>
      </w:r>
      <w:r w:rsidRPr="00D34EFE">
        <w:rPr>
          <w:bCs/>
        </w:rPr>
        <w:t>2913:9</w:t>
      </w:r>
      <w:r>
        <w:rPr>
          <w:bCs/>
        </w:rPr>
        <w:t xml:space="preserve"> (</w:t>
      </w:r>
      <w:r w:rsidRPr="00D34EFE">
        <w:rPr>
          <w:bCs/>
        </w:rPr>
        <w:t>“there are instances where you actually do need bigger equipment than is usually – than is reasonably thought to be needed. You know, again a lot of times if you have tanks with low vapor space, head space, you do need a larger combustor, you know, many times.”</w:t>
      </w:r>
      <w:r>
        <w:rPr>
          <w:bCs/>
        </w:rPr>
        <w:t>)</w:t>
      </w:r>
    </w:p>
    <w:p w14:paraId="2218D89C" w14:textId="5DE5E729" w:rsidR="00B02F67" w:rsidRDefault="00B02F67" w:rsidP="00B02F67">
      <w:pPr>
        <w:spacing w:after="0" w:line="480" w:lineRule="auto"/>
        <w:ind w:firstLine="720"/>
        <w:jc w:val="both"/>
        <w:rPr>
          <w:bCs/>
        </w:rPr>
      </w:pPr>
      <w:r>
        <w:rPr>
          <w:bCs/>
        </w:rPr>
        <w:t>Th</w:t>
      </w:r>
      <w:r w:rsidRPr="00D34EFE">
        <w:rPr>
          <w:bCs/>
        </w:rPr>
        <w:t xml:space="preserve">e challenges from lack of headspace </w:t>
      </w:r>
      <w:r>
        <w:rPr>
          <w:bCs/>
        </w:rPr>
        <w:t>are</w:t>
      </w:r>
      <w:r w:rsidRPr="00D34EFE">
        <w:rPr>
          <w:bCs/>
        </w:rPr>
        <w:t xml:space="preserve"> compounded</w:t>
      </w:r>
      <w:r>
        <w:rPr>
          <w:bCs/>
        </w:rPr>
        <w:t xml:space="preserve"> </w:t>
      </w:r>
      <w:r w:rsidRPr="00D34EFE">
        <w:rPr>
          <w:bCs/>
        </w:rPr>
        <w:t>in New Mexico by the age and rating of many of the single tank</w:t>
      </w:r>
      <w:r w:rsidR="00EE4969">
        <w:rPr>
          <w:bCs/>
        </w:rPr>
        <w:t xml:space="preserve">s </w:t>
      </w:r>
      <w:r>
        <w:rPr>
          <w:bCs/>
        </w:rPr>
        <w:t>in service</w:t>
      </w:r>
      <w:r w:rsidRPr="00D34EFE">
        <w:rPr>
          <w:bCs/>
        </w:rPr>
        <w:t xml:space="preserve">. </w:t>
      </w:r>
      <w:r>
        <w:rPr>
          <w:bCs/>
        </w:rPr>
        <w:t>According to Mr. Meyer, m</w:t>
      </w:r>
      <w:r w:rsidRPr="00D34EFE">
        <w:rPr>
          <w:bCs/>
        </w:rPr>
        <w:t>any of these tanks are older and rated for either “atmospheric” or very low</w:t>
      </w:r>
      <w:r>
        <w:rPr>
          <w:bCs/>
        </w:rPr>
        <w:t xml:space="preserve"> </w:t>
      </w:r>
      <w:r w:rsidRPr="00D34EFE">
        <w:rPr>
          <w:bCs/>
        </w:rPr>
        <w:t xml:space="preserve">pressure instead of the 16 ounces more typical of modern tanks. </w:t>
      </w:r>
      <w:r w:rsidR="0006617C">
        <w:rPr>
          <w:bCs/>
        </w:rPr>
        <w:t>Tr. 9:</w:t>
      </w:r>
      <w:r w:rsidRPr="00D34EFE">
        <w:rPr>
          <w:bCs/>
        </w:rPr>
        <w:t>2913:10-23. This means that the tanks can’t handle much, if any, internal pressure before they must vent. It is generally not possible to control atmospheric or low pressure rated tanks</w:t>
      </w:r>
      <w:r>
        <w:rPr>
          <w:bCs/>
        </w:rPr>
        <w:t xml:space="preserve">, </w:t>
      </w:r>
      <w:r w:rsidRPr="00D34EFE">
        <w:rPr>
          <w:bCs/>
        </w:rPr>
        <w:t xml:space="preserve">and </w:t>
      </w:r>
      <w:r>
        <w:rPr>
          <w:bCs/>
        </w:rPr>
        <w:t>these tanks</w:t>
      </w:r>
      <w:r w:rsidRPr="00D34EFE">
        <w:rPr>
          <w:bCs/>
        </w:rPr>
        <w:t xml:space="preserve"> </w:t>
      </w:r>
      <w:r>
        <w:rPr>
          <w:bCs/>
        </w:rPr>
        <w:t>will most likely require replacement to meet NMED’s proposed standards</w:t>
      </w:r>
      <w:r w:rsidRPr="00D34EFE">
        <w:rPr>
          <w:bCs/>
        </w:rPr>
        <w:t xml:space="preserve">. </w:t>
      </w:r>
      <w:r w:rsidR="0006617C">
        <w:rPr>
          <w:bCs/>
        </w:rPr>
        <w:t>Tr. 9:</w:t>
      </w:r>
      <w:r>
        <w:rPr>
          <w:bCs/>
        </w:rPr>
        <w:t>2</w:t>
      </w:r>
      <w:r w:rsidRPr="00D34EFE">
        <w:rPr>
          <w:bCs/>
        </w:rPr>
        <w:t>914:17-9:2915:2.</w:t>
      </w:r>
      <w:r>
        <w:rPr>
          <w:bCs/>
        </w:rPr>
        <w:t xml:space="preserve"> </w:t>
      </w:r>
    </w:p>
    <w:p w14:paraId="2E3AA327" w14:textId="57E1E8D5" w:rsidR="00B02F67" w:rsidRDefault="00B02F67" w:rsidP="00B02F67">
      <w:pPr>
        <w:spacing w:after="0" w:line="480" w:lineRule="auto"/>
        <w:ind w:firstLine="720"/>
        <w:jc w:val="both"/>
        <w:rPr>
          <w:bCs/>
        </w:rPr>
      </w:pPr>
      <w:r>
        <w:rPr>
          <w:bCs/>
        </w:rPr>
        <w:t xml:space="preserve">Due to the headspace and aging complications, the cost-per-ton of controlling single tank batteries is higher than prior NMED estimates indicated. As </w:t>
      </w:r>
      <w:r w:rsidR="00182E02">
        <w:rPr>
          <w:bCs/>
        </w:rPr>
        <w:t>Mr.</w:t>
      </w:r>
      <w:r w:rsidRPr="00D34EFE">
        <w:rPr>
          <w:bCs/>
        </w:rPr>
        <w:t xml:space="preserve"> Meyer stated, “if you consider </w:t>
      </w:r>
      <w:r w:rsidRPr="00D34EFE">
        <w:rPr>
          <w:bCs/>
        </w:rPr>
        <w:lastRenderedPageBreak/>
        <w:t xml:space="preserve">the rules in its entirety, hydrocarbon liquid -- hydrocarbon vapor capture during truck loadout, potential for larger combustor or control device, replacing of tanks, all these things add up, you could have a significant cost associated with especially the smaller tank, single standalone tank batteries.” </w:t>
      </w:r>
      <w:r w:rsidR="0006617C">
        <w:rPr>
          <w:bCs/>
        </w:rPr>
        <w:t>Tr. 9:</w:t>
      </w:r>
      <w:r w:rsidRPr="00D34EFE">
        <w:rPr>
          <w:bCs/>
        </w:rPr>
        <w:t xml:space="preserve">2915:17-24; </w:t>
      </w:r>
      <w:r w:rsidRPr="006B48BF">
        <w:rPr>
          <w:bCs/>
          <w:i/>
          <w:iCs/>
        </w:rPr>
        <w:t>see also</w:t>
      </w:r>
      <w:r w:rsidR="0006617C">
        <w:rPr>
          <w:bCs/>
          <w:i/>
          <w:iCs/>
        </w:rPr>
        <w:t xml:space="preserve"> </w:t>
      </w:r>
      <w:r w:rsidR="00CD69D7">
        <w:rPr>
          <w:bCs/>
        </w:rPr>
        <w:t xml:space="preserve">Tr. </w:t>
      </w:r>
      <w:r w:rsidR="0006617C">
        <w:rPr>
          <w:bCs/>
        </w:rPr>
        <w:t>9:</w:t>
      </w:r>
      <w:r w:rsidRPr="00D34EFE">
        <w:rPr>
          <w:bCs/>
        </w:rPr>
        <w:t xml:space="preserve">2925:8-23 (responding to question from Vice Chair Trujillo-Davis). </w:t>
      </w:r>
    </w:p>
    <w:p w14:paraId="1A91D7C7" w14:textId="5A91E9D6" w:rsidR="00B02F67" w:rsidRDefault="00B02F67" w:rsidP="00B02F67">
      <w:pPr>
        <w:spacing w:after="0" w:line="480" w:lineRule="auto"/>
        <w:ind w:firstLine="720"/>
        <w:jc w:val="both"/>
        <w:rPr>
          <w:bCs/>
        </w:rPr>
      </w:pPr>
      <w:r>
        <w:rPr>
          <w:bCs/>
        </w:rPr>
        <w:t>Mr. Palmer and Mr. Meyer presented competing views of the costs of controlling single tank batteries. Mr. Palmer testified that</w:t>
      </w:r>
      <w:r w:rsidRPr="009750F4">
        <w:rPr>
          <w:bCs/>
        </w:rPr>
        <w:t xml:space="preserve"> the retrofit costs in Mr. Meyer’s spreadsheet</w:t>
      </w:r>
      <w:r>
        <w:rPr>
          <w:bCs/>
        </w:rPr>
        <w:t xml:space="preserve"> </w:t>
      </w:r>
      <w:r w:rsidRPr="009750F4">
        <w:rPr>
          <w:bCs/>
        </w:rPr>
        <w:t xml:space="preserve">were high because they </w:t>
      </w:r>
      <w:r>
        <w:rPr>
          <w:bCs/>
        </w:rPr>
        <w:t>exceeded the cost of</w:t>
      </w:r>
      <w:r w:rsidRPr="009750F4">
        <w:rPr>
          <w:bCs/>
        </w:rPr>
        <w:t xml:space="preserve"> replacing the tank. </w:t>
      </w:r>
      <w:r>
        <w:rPr>
          <w:bCs/>
        </w:rPr>
        <w:t xml:space="preserve">Based on this observation, </w:t>
      </w:r>
      <w:r w:rsidRPr="009750F4">
        <w:rPr>
          <w:bCs/>
        </w:rPr>
        <w:t xml:space="preserve">Mr. Palmer </w:t>
      </w:r>
      <w:r>
        <w:rPr>
          <w:bCs/>
        </w:rPr>
        <w:t xml:space="preserve">conducted his own analysis and </w:t>
      </w:r>
      <w:r w:rsidRPr="009750F4">
        <w:rPr>
          <w:bCs/>
        </w:rPr>
        <w:t>replaced the</w:t>
      </w:r>
      <w:r>
        <w:rPr>
          <w:bCs/>
        </w:rPr>
        <w:t xml:space="preserve"> allegedly excessive</w:t>
      </w:r>
      <w:r w:rsidRPr="009750F4">
        <w:rPr>
          <w:bCs/>
        </w:rPr>
        <w:t xml:space="preserve"> retrofit cost</w:t>
      </w:r>
      <w:r>
        <w:rPr>
          <w:bCs/>
        </w:rPr>
        <w:t xml:space="preserve">s with the relatively lower costs for replacing the </w:t>
      </w:r>
      <w:r w:rsidRPr="009750F4">
        <w:rPr>
          <w:bCs/>
        </w:rPr>
        <w:t>tank.</w:t>
      </w:r>
      <w:r>
        <w:rPr>
          <w:bCs/>
        </w:rPr>
        <w:t xml:space="preserve"> </w:t>
      </w:r>
      <w:r w:rsidR="00CD69D7">
        <w:rPr>
          <w:bCs/>
        </w:rPr>
        <w:t>Tr. 9:</w:t>
      </w:r>
      <w:r w:rsidRPr="009750F4">
        <w:rPr>
          <w:bCs/>
        </w:rPr>
        <w:t xml:space="preserve">3035:15-9:3036:21. Mr. Meyer </w:t>
      </w:r>
      <w:r>
        <w:rPr>
          <w:bCs/>
        </w:rPr>
        <w:t>reviewed Mr. Palmer’s cost-per-ton estimate and the underlying data, including</w:t>
      </w:r>
      <w:r w:rsidRPr="009750F4">
        <w:rPr>
          <w:bCs/>
        </w:rPr>
        <w:t xml:space="preserve"> the EPA</w:t>
      </w:r>
      <w:r>
        <w:rPr>
          <w:bCs/>
        </w:rPr>
        <w:t xml:space="preserve">’s </w:t>
      </w:r>
      <w:r w:rsidRPr="009750F4">
        <w:rPr>
          <w:bCs/>
        </w:rPr>
        <w:t xml:space="preserve">explanation </w:t>
      </w:r>
      <w:r>
        <w:rPr>
          <w:bCs/>
        </w:rPr>
        <w:t xml:space="preserve">of retrofit costs. Mr. Meyer </w:t>
      </w:r>
      <w:r w:rsidRPr="009750F4">
        <w:rPr>
          <w:bCs/>
        </w:rPr>
        <w:t xml:space="preserve">determined that the CTG cost for “storage vessel retrofit, as they called it, that – in 2012 year, the </w:t>
      </w:r>
      <w:r>
        <w:rPr>
          <w:bCs/>
        </w:rPr>
        <w:t>$</w:t>
      </w:r>
      <w:r w:rsidRPr="009750F4">
        <w:rPr>
          <w:bCs/>
        </w:rPr>
        <w:t xml:space="preserve">68,000 was associated with new piping, new headers, basically to bring the tank vapors to the control device.” </w:t>
      </w:r>
      <w:r w:rsidR="00CD69D7">
        <w:rPr>
          <w:bCs/>
        </w:rPr>
        <w:t>Tr. 9:</w:t>
      </w:r>
      <w:r w:rsidRPr="009750F4">
        <w:rPr>
          <w:bCs/>
        </w:rPr>
        <w:t xml:space="preserve">3092:10-24. </w:t>
      </w:r>
      <w:r>
        <w:rPr>
          <w:bCs/>
        </w:rPr>
        <w:t xml:space="preserve">Mr. Meyer testified that the </w:t>
      </w:r>
      <w:r w:rsidRPr="009750F4">
        <w:rPr>
          <w:bCs/>
        </w:rPr>
        <w:t xml:space="preserve">$68,000 (now about $72,000 in 2019$) </w:t>
      </w:r>
      <w:r>
        <w:rPr>
          <w:bCs/>
        </w:rPr>
        <w:t xml:space="preserve">would also have to be incurred for tank replacements and that Mr. Palmer’s calculation erroneously excluded these costs. Moreover, </w:t>
      </w:r>
      <w:r w:rsidRPr="009750F4">
        <w:rPr>
          <w:bCs/>
        </w:rPr>
        <w:t xml:space="preserve">since many </w:t>
      </w:r>
      <w:r>
        <w:rPr>
          <w:bCs/>
        </w:rPr>
        <w:t>single tank</w:t>
      </w:r>
      <w:r w:rsidR="00AC34BB">
        <w:rPr>
          <w:bCs/>
        </w:rPr>
        <w:t>s</w:t>
      </w:r>
      <w:r>
        <w:rPr>
          <w:bCs/>
        </w:rPr>
        <w:t xml:space="preserve"> will require replacement</w:t>
      </w:r>
      <w:r w:rsidRPr="009750F4">
        <w:rPr>
          <w:bCs/>
        </w:rPr>
        <w:t xml:space="preserve">, </w:t>
      </w:r>
      <w:r>
        <w:rPr>
          <w:bCs/>
        </w:rPr>
        <w:t>Mr. Meyer testified that the</w:t>
      </w:r>
      <w:r w:rsidRPr="009750F4">
        <w:rPr>
          <w:bCs/>
        </w:rPr>
        <w:t xml:space="preserve"> $18,000 </w:t>
      </w:r>
      <w:r>
        <w:rPr>
          <w:bCs/>
        </w:rPr>
        <w:t xml:space="preserve">incurred </w:t>
      </w:r>
      <w:r w:rsidRPr="009750F4">
        <w:rPr>
          <w:bCs/>
        </w:rPr>
        <w:t xml:space="preserve">for </w:t>
      </w:r>
      <w:r>
        <w:rPr>
          <w:bCs/>
        </w:rPr>
        <w:t>acquisition and installation of a</w:t>
      </w:r>
      <w:r w:rsidRPr="009750F4">
        <w:rPr>
          <w:bCs/>
        </w:rPr>
        <w:t xml:space="preserve"> new tank </w:t>
      </w:r>
      <w:r>
        <w:rPr>
          <w:bCs/>
        </w:rPr>
        <w:t>also needed to be included. These revisions increase the cost to approximately</w:t>
      </w:r>
      <w:r w:rsidRPr="009750F4">
        <w:rPr>
          <w:bCs/>
        </w:rPr>
        <w:t xml:space="preserve"> $101,736</w:t>
      </w:r>
      <w:r>
        <w:rPr>
          <w:bCs/>
        </w:rPr>
        <w:t xml:space="preserve"> for single tank</w:t>
      </w:r>
      <w:r w:rsidR="00AC34BB">
        <w:rPr>
          <w:bCs/>
        </w:rPr>
        <w:t>s</w:t>
      </w:r>
      <w:r>
        <w:rPr>
          <w:bCs/>
        </w:rPr>
        <w:t>, bringing</w:t>
      </w:r>
      <w:r w:rsidRPr="009750F4">
        <w:rPr>
          <w:bCs/>
        </w:rPr>
        <w:t xml:space="preserve"> the “cost per ton of VOC reduced” to around $9</w:t>
      </w:r>
      <w:r>
        <w:rPr>
          <w:bCs/>
        </w:rPr>
        <w:t>,167</w:t>
      </w:r>
      <w:r w:rsidRPr="009750F4">
        <w:rPr>
          <w:bCs/>
        </w:rPr>
        <w:t xml:space="preserve">/ton VOC at a 3 </w:t>
      </w:r>
      <w:proofErr w:type="spellStart"/>
      <w:r w:rsidRPr="009750F4">
        <w:rPr>
          <w:bCs/>
        </w:rPr>
        <w:t>tpy</w:t>
      </w:r>
      <w:proofErr w:type="spellEnd"/>
      <w:r w:rsidRPr="009750F4">
        <w:rPr>
          <w:bCs/>
        </w:rPr>
        <w:t xml:space="preserve"> level.</w:t>
      </w:r>
      <w:r>
        <w:rPr>
          <w:bCs/>
        </w:rPr>
        <w:t xml:space="preserve"> </w:t>
      </w:r>
      <w:r w:rsidR="00CD69D7">
        <w:rPr>
          <w:bCs/>
        </w:rPr>
        <w:t>Tr.</w:t>
      </w:r>
      <w:r w:rsidRPr="009750F4">
        <w:rPr>
          <w:bCs/>
        </w:rPr>
        <w:t xml:space="preserve"> 9</w:t>
      </w:r>
      <w:r w:rsidR="00CD69D7">
        <w:rPr>
          <w:bCs/>
        </w:rPr>
        <w:t>:</w:t>
      </w:r>
      <w:r w:rsidRPr="009750F4">
        <w:rPr>
          <w:bCs/>
        </w:rPr>
        <w:t>3093:7-25</w:t>
      </w:r>
      <w:r>
        <w:rPr>
          <w:bCs/>
        </w:rPr>
        <w:t xml:space="preserve">; </w:t>
      </w:r>
      <w:r w:rsidRPr="009750F4">
        <w:rPr>
          <w:bCs/>
        </w:rPr>
        <w:t>9:3094:1-5</w:t>
      </w:r>
      <w:r>
        <w:rPr>
          <w:bCs/>
        </w:rPr>
        <w:t>; NMOGA Exhibit 62</w:t>
      </w:r>
      <w:r w:rsidRPr="009750F4">
        <w:rPr>
          <w:bCs/>
        </w:rPr>
        <w:t xml:space="preserve">. </w:t>
      </w:r>
      <w:r>
        <w:rPr>
          <w:bCs/>
        </w:rPr>
        <w:t>Regulation at this cost-per-ton would be particularly difficult for small operators who are more likely to own aging existing single storage vessels.</w:t>
      </w:r>
    </w:p>
    <w:p w14:paraId="680FA124" w14:textId="77777777" w:rsidR="00B02F67" w:rsidRDefault="00B02F67" w:rsidP="00B02F67">
      <w:pPr>
        <w:spacing w:after="0" w:line="480" w:lineRule="auto"/>
        <w:ind w:firstLine="720"/>
        <w:jc w:val="both"/>
        <w:rPr>
          <w:bCs/>
        </w:rPr>
      </w:pPr>
      <w:r>
        <w:rPr>
          <w:bCs/>
        </w:rPr>
        <w:lastRenderedPageBreak/>
        <w:t xml:space="preserve">The 4 </w:t>
      </w:r>
      <w:proofErr w:type="spellStart"/>
      <w:r>
        <w:rPr>
          <w:bCs/>
        </w:rPr>
        <w:t>tpy</w:t>
      </w:r>
      <w:proofErr w:type="spellEnd"/>
      <w:r>
        <w:rPr>
          <w:bCs/>
        </w:rPr>
        <w:t xml:space="preserve"> threshold is also excessively costly at $6,890/ton VOC reduced. The following table summarizes available cost-per-ton figures for the provisions of 20.2.50 NMAC and demonstrates that, barring consideration of turbine VOC controls, the 4 </w:t>
      </w:r>
      <w:proofErr w:type="spellStart"/>
      <w:r>
        <w:rPr>
          <w:bCs/>
        </w:rPr>
        <w:t>tpy</w:t>
      </w:r>
      <w:proofErr w:type="spellEnd"/>
      <w:r>
        <w:rPr>
          <w:bCs/>
        </w:rPr>
        <w:t xml:space="preserve"> threshold for existing single tank batteries is more costly than any other proposal on an average cost-per-ton basis. </w:t>
      </w:r>
    </w:p>
    <w:tbl>
      <w:tblPr>
        <w:tblStyle w:val="TableGrid"/>
        <w:tblW w:w="9355" w:type="dxa"/>
        <w:tblLook w:val="0420" w:firstRow="1" w:lastRow="0" w:firstColumn="0" w:lastColumn="0" w:noHBand="0" w:noVBand="1"/>
      </w:tblPr>
      <w:tblGrid>
        <w:gridCol w:w="4945"/>
        <w:gridCol w:w="1800"/>
        <w:gridCol w:w="2610"/>
      </w:tblGrid>
      <w:tr w:rsidR="00B02F67" w:rsidRPr="00BA1571" w14:paraId="730A075F" w14:textId="77777777" w:rsidTr="00A6468A">
        <w:trPr>
          <w:trHeight w:val="290"/>
        </w:trPr>
        <w:tc>
          <w:tcPr>
            <w:tcW w:w="4945" w:type="dxa"/>
            <w:noWrap/>
          </w:tcPr>
          <w:p w14:paraId="3AA5D698" w14:textId="77777777" w:rsidR="00B02F67" w:rsidRPr="00BA1571" w:rsidRDefault="00B02F67" w:rsidP="00A6468A">
            <w:pPr>
              <w:rPr>
                <w:rFonts w:eastAsia="Times New Roman" w:cs="Times New Roman"/>
                <w:b/>
                <w:bCs/>
                <w:color w:val="000000"/>
                <w:szCs w:val="24"/>
              </w:rPr>
            </w:pPr>
            <w:r w:rsidRPr="00BA1571">
              <w:rPr>
                <w:rFonts w:eastAsia="Times New Roman" w:cs="Times New Roman"/>
                <w:b/>
                <w:bCs/>
                <w:color w:val="000000"/>
                <w:szCs w:val="24"/>
              </w:rPr>
              <w:t>Emissions Source</w:t>
            </w:r>
          </w:p>
        </w:tc>
        <w:tc>
          <w:tcPr>
            <w:tcW w:w="1800" w:type="dxa"/>
            <w:noWrap/>
          </w:tcPr>
          <w:p w14:paraId="07264A02" w14:textId="77777777" w:rsidR="00B02F67" w:rsidRPr="00BA1571" w:rsidRDefault="00B02F67" w:rsidP="00A6468A">
            <w:pPr>
              <w:jc w:val="right"/>
              <w:rPr>
                <w:rFonts w:eastAsia="Times New Roman" w:cs="Times New Roman"/>
                <w:b/>
                <w:bCs/>
                <w:color w:val="000000"/>
                <w:szCs w:val="24"/>
              </w:rPr>
            </w:pPr>
            <w:r w:rsidRPr="00BA1571">
              <w:rPr>
                <w:rFonts w:eastAsia="Times New Roman" w:cs="Times New Roman"/>
                <w:b/>
                <w:bCs/>
                <w:color w:val="000000"/>
                <w:szCs w:val="24"/>
              </w:rPr>
              <w:t>Average $/Ton</w:t>
            </w:r>
          </w:p>
        </w:tc>
        <w:tc>
          <w:tcPr>
            <w:tcW w:w="2610" w:type="dxa"/>
            <w:noWrap/>
          </w:tcPr>
          <w:p w14:paraId="62F1D876" w14:textId="77777777" w:rsidR="00B02F67" w:rsidRPr="00BA1571" w:rsidRDefault="00B02F67" w:rsidP="00A6468A">
            <w:pPr>
              <w:rPr>
                <w:rFonts w:eastAsia="Times New Roman" w:cs="Times New Roman"/>
                <w:b/>
                <w:bCs/>
                <w:color w:val="000000"/>
                <w:szCs w:val="24"/>
              </w:rPr>
            </w:pPr>
            <w:r w:rsidRPr="00BA1571">
              <w:rPr>
                <w:rFonts w:eastAsia="Times New Roman" w:cs="Times New Roman"/>
                <w:b/>
                <w:bCs/>
                <w:color w:val="000000"/>
                <w:szCs w:val="24"/>
              </w:rPr>
              <w:t>Exhibit</w:t>
            </w:r>
          </w:p>
        </w:tc>
      </w:tr>
      <w:tr w:rsidR="00B02F67" w:rsidRPr="003D658E" w14:paraId="3718FF59" w14:textId="77777777" w:rsidTr="00A6468A">
        <w:trPr>
          <w:trHeight w:val="290"/>
        </w:trPr>
        <w:tc>
          <w:tcPr>
            <w:tcW w:w="4945" w:type="dxa"/>
            <w:noWrap/>
            <w:hideMark/>
          </w:tcPr>
          <w:p w14:paraId="62C9C5EA"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Compressor Seals Turbines</w:t>
            </w:r>
          </w:p>
        </w:tc>
        <w:tc>
          <w:tcPr>
            <w:tcW w:w="1800" w:type="dxa"/>
            <w:noWrap/>
            <w:hideMark/>
          </w:tcPr>
          <w:p w14:paraId="71BA8C54"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319.68 </w:t>
            </w:r>
          </w:p>
        </w:tc>
        <w:tc>
          <w:tcPr>
            <w:tcW w:w="2610" w:type="dxa"/>
            <w:noWrap/>
            <w:hideMark/>
          </w:tcPr>
          <w:p w14:paraId="1CA6690E"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NMED 66</w:t>
            </w:r>
          </w:p>
        </w:tc>
      </w:tr>
      <w:tr w:rsidR="00B02F67" w:rsidRPr="003D658E" w14:paraId="627D4127" w14:textId="77777777" w:rsidTr="00A6468A">
        <w:trPr>
          <w:trHeight w:val="580"/>
        </w:trPr>
        <w:tc>
          <w:tcPr>
            <w:tcW w:w="4945" w:type="dxa"/>
            <w:noWrap/>
            <w:hideMark/>
          </w:tcPr>
          <w:p w14:paraId="5508DB30"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Hydrocarbon liquid transfers</w:t>
            </w:r>
          </w:p>
        </w:tc>
        <w:tc>
          <w:tcPr>
            <w:tcW w:w="1800" w:type="dxa"/>
            <w:noWrap/>
            <w:hideMark/>
          </w:tcPr>
          <w:p w14:paraId="4FCDA2D1"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535.79 </w:t>
            </w:r>
          </w:p>
        </w:tc>
        <w:tc>
          <w:tcPr>
            <w:tcW w:w="2610" w:type="dxa"/>
            <w:noWrap/>
            <w:hideMark/>
          </w:tcPr>
          <w:p w14:paraId="1EEC18B9"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NMED 84</w:t>
            </w:r>
          </w:p>
        </w:tc>
      </w:tr>
      <w:tr w:rsidR="00B02F67" w:rsidRPr="003D658E" w14:paraId="0E643AA9" w14:textId="77777777" w:rsidTr="00A6468A">
        <w:trPr>
          <w:trHeight w:val="580"/>
        </w:trPr>
        <w:tc>
          <w:tcPr>
            <w:tcW w:w="4945" w:type="dxa"/>
            <w:noWrap/>
            <w:hideMark/>
          </w:tcPr>
          <w:p w14:paraId="7A396E19"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Engines - VOC</w:t>
            </w:r>
          </w:p>
        </w:tc>
        <w:tc>
          <w:tcPr>
            <w:tcW w:w="1800" w:type="dxa"/>
            <w:noWrap/>
            <w:hideMark/>
          </w:tcPr>
          <w:p w14:paraId="0841BBBB"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990.00 </w:t>
            </w:r>
          </w:p>
        </w:tc>
        <w:tc>
          <w:tcPr>
            <w:tcW w:w="2610" w:type="dxa"/>
            <w:noWrap/>
            <w:hideMark/>
          </w:tcPr>
          <w:p w14:paraId="5CCBB825"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NMED 57</w:t>
            </w:r>
          </w:p>
        </w:tc>
      </w:tr>
      <w:tr w:rsidR="00B02F67" w:rsidRPr="003D658E" w14:paraId="59D4DC90" w14:textId="77777777" w:rsidTr="00A6468A">
        <w:trPr>
          <w:trHeight w:val="580"/>
        </w:trPr>
        <w:tc>
          <w:tcPr>
            <w:tcW w:w="4945" w:type="dxa"/>
            <w:noWrap/>
            <w:hideMark/>
          </w:tcPr>
          <w:p w14:paraId="362B295B"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Reciprocating Compressor Seals</w:t>
            </w:r>
          </w:p>
        </w:tc>
        <w:tc>
          <w:tcPr>
            <w:tcW w:w="1800" w:type="dxa"/>
            <w:noWrap/>
            <w:hideMark/>
          </w:tcPr>
          <w:p w14:paraId="30DE583C"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$ 1,085.21 </w:t>
            </w:r>
          </w:p>
        </w:tc>
        <w:tc>
          <w:tcPr>
            <w:tcW w:w="2610" w:type="dxa"/>
            <w:noWrap/>
            <w:hideMark/>
          </w:tcPr>
          <w:p w14:paraId="5CEBB6E8"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NMED 64</w:t>
            </w:r>
          </w:p>
        </w:tc>
      </w:tr>
      <w:tr w:rsidR="00B02F67" w:rsidRPr="003D658E" w14:paraId="401EA3C8" w14:textId="77777777" w:rsidTr="00A6468A">
        <w:trPr>
          <w:trHeight w:val="290"/>
        </w:trPr>
        <w:tc>
          <w:tcPr>
            <w:tcW w:w="4945" w:type="dxa"/>
            <w:noWrap/>
            <w:hideMark/>
          </w:tcPr>
          <w:p w14:paraId="561E6AEF"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 xml:space="preserve">Glycol Dehydrators - </w:t>
            </w:r>
            <w:proofErr w:type="spellStart"/>
            <w:r w:rsidRPr="003D658E">
              <w:rPr>
                <w:rFonts w:eastAsia="Times New Roman" w:cs="Times New Roman"/>
                <w:color w:val="000000"/>
                <w:szCs w:val="24"/>
              </w:rPr>
              <w:t>Condensor</w:t>
            </w:r>
            <w:proofErr w:type="spellEnd"/>
          </w:p>
        </w:tc>
        <w:tc>
          <w:tcPr>
            <w:tcW w:w="1800" w:type="dxa"/>
            <w:noWrap/>
            <w:hideMark/>
          </w:tcPr>
          <w:p w14:paraId="67F93EDE"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$ 2,033.96 </w:t>
            </w:r>
          </w:p>
        </w:tc>
        <w:tc>
          <w:tcPr>
            <w:tcW w:w="2610" w:type="dxa"/>
            <w:noWrap/>
            <w:hideMark/>
          </w:tcPr>
          <w:p w14:paraId="5FEDC800"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NMED 77</w:t>
            </w:r>
          </w:p>
        </w:tc>
      </w:tr>
      <w:tr w:rsidR="00B02F67" w:rsidRPr="003D658E" w14:paraId="487CAA1F" w14:textId="77777777" w:rsidTr="00A6468A">
        <w:trPr>
          <w:trHeight w:val="580"/>
        </w:trPr>
        <w:tc>
          <w:tcPr>
            <w:tcW w:w="4945" w:type="dxa"/>
            <w:noWrap/>
            <w:hideMark/>
          </w:tcPr>
          <w:p w14:paraId="727E0C31"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Engines - NO</w:t>
            </w:r>
            <w:r>
              <w:rPr>
                <w:rFonts w:eastAsia="Times New Roman" w:cs="Times New Roman"/>
                <w:color w:val="000000"/>
                <w:szCs w:val="24"/>
              </w:rPr>
              <w:t>x</w:t>
            </w:r>
          </w:p>
        </w:tc>
        <w:tc>
          <w:tcPr>
            <w:tcW w:w="1800" w:type="dxa"/>
            <w:noWrap/>
            <w:hideMark/>
          </w:tcPr>
          <w:p w14:paraId="68A69A27"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$ 2,247.00 </w:t>
            </w:r>
          </w:p>
        </w:tc>
        <w:tc>
          <w:tcPr>
            <w:tcW w:w="2610" w:type="dxa"/>
            <w:noWrap/>
            <w:hideMark/>
          </w:tcPr>
          <w:p w14:paraId="5A74A8CD" w14:textId="77777777" w:rsidR="00B02F67" w:rsidRPr="003D658E" w:rsidRDefault="00B02F67" w:rsidP="00A6468A">
            <w:pPr>
              <w:rPr>
                <w:rFonts w:eastAsia="Times New Roman" w:cs="Times New Roman"/>
                <w:color w:val="000000"/>
                <w:szCs w:val="24"/>
              </w:rPr>
            </w:pPr>
            <w:r>
              <w:rPr>
                <w:rFonts w:eastAsia="Times New Roman" w:cs="Times New Roman"/>
                <w:color w:val="000000"/>
                <w:szCs w:val="24"/>
              </w:rPr>
              <w:t xml:space="preserve">NMED </w:t>
            </w:r>
            <w:r w:rsidRPr="003D658E">
              <w:rPr>
                <w:rFonts w:eastAsia="Times New Roman" w:cs="Times New Roman"/>
                <w:color w:val="000000"/>
                <w:szCs w:val="24"/>
              </w:rPr>
              <w:t>Reb</w:t>
            </w:r>
            <w:r>
              <w:rPr>
                <w:rFonts w:eastAsia="Times New Roman" w:cs="Times New Roman"/>
                <w:color w:val="000000"/>
                <w:szCs w:val="24"/>
              </w:rPr>
              <w:t xml:space="preserve">uttal </w:t>
            </w:r>
            <w:r w:rsidRPr="003D658E">
              <w:rPr>
                <w:rFonts w:eastAsia="Times New Roman" w:cs="Times New Roman"/>
                <w:color w:val="000000"/>
                <w:szCs w:val="24"/>
              </w:rPr>
              <w:t>25</w:t>
            </w:r>
          </w:p>
        </w:tc>
      </w:tr>
      <w:tr w:rsidR="00B02F67" w:rsidRPr="003D658E" w14:paraId="58B5FCDE" w14:textId="77777777" w:rsidTr="00A6468A">
        <w:trPr>
          <w:trHeight w:val="580"/>
        </w:trPr>
        <w:tc>
          <w:tcPr>
            <w:tcW w:w="4945" w:type="dxa"/>
            <w:noWrap/>
            <w:hideMark/>
          </w:tcPr>
          <w:p w14:paraId="71974572" w14:textId="77777777" w:rsidR="00B02F67" w:rsidRPr="003D658E" w:rsidRDefault="00B02F67" w:rsidP="00A6468A">
            <w:pPr>
              <w:rPr>
                <w:rFonts w:eastAsia="Times New Roman" w:cs="Times New Roman"/>
                <w:color w:val="000000"/>
                <w:szCs w:val="24"/>
              </w:rPr>
            </w:pPr>
            <w:r>
              <w:rPr>
                <w:rFonts w:eastAsia="Times New Roman" w:cs="Times New Roman"/>
                <w:color w:val="000000"/>
                <w:szCs w:val="24"/>
              </w:rPr>
              <w:t>Storage Vessels (Average)</w:t>
            </w:r>
          </w:p>
        </w:tc>
        <w:tc>
          <w:tcPr>
            <w:tcW w:w="1800" w:type="dxa"/>
            <w:noWrap/>
            <w:hideMark/>
          </w:tcPr>
          <w:p w14:paraId="53500C9E"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$ 2,695.00 </w:t>
            </w:r>
          </w:p>
        </w:tc>
        <w:tc>
          <w:tcPr>
            <w:tcW w:w="2610" w:type="dxa"/>
            <w:noWrap/>
            <w:hideMark/>
          </w:tcPr>
          <w:p w14:paraId="4100D9F2" w14:textId="77777777" w:rsidR="00B02F67" w:rsidRPr="003D658E" w:rsidRDefault="00B02F67" w:rsidP="00A6468A">
            <w:pPr>
              <w:rPr>
                <w:rFonts w:eastAsia="Times New Roman" w:cs="Times New Roman"/>
                <w:color w:val="000000"/>
                <w:szCs w:val="24"/>
              </w:rPr>
            </w:pPr>
            <w:r>
              <w:rPr>
                <w:rFonts w:eastAsia="Times New Roman" w:cs="Times New Roman"/>
                <w:color w:val="000000"/>
                <w:szCs w:val="24"/>
              </w:rPr>
              <w:t xml:space="preserve">NMED </w:t>
            </w:r>
            <w:r w:rsidRPr="003D658E">
              <w:rPr>
                <w:rFonts w:eastAsia="Times New Roman" w:cs="Times New Roman"/>
                <w:color w:val="000000"/>
                <w:szCs w:val="24"/>
              </w:rPr>
              <w:t>Reb</w:t>
            </w:r>
            <w:r>
              <w:rPr>
                <w:rFonts w:eastAsia="Times New Roman" w:cs="Times New Roman"/>
                <w:color w:val="000000"/>
                <w:szCs w:val="24"/>
              </w:rPr>
              <w:t>uttal</w:t>
            </w:r>
            <w:r w:rsidRPr="003D658E">
              <w:rPr>
                <w:rFonts w:eastAsia="Times New Roman" w:cs="Times New Roman"/>
                <w:color w:val="000000"/>
                <w:szCs w:val="24"/>
              </w:rPr>
              <w:t xml:space="preserve"> 28</w:t>
            </w:r>
          </w:p>
        </w:tc>
      </w:tr>
      <w:tr w:rsidR="00B02F67" w:rsidRPr="003D658E" w14:paraId="10FCB815" w14:textId="77777777" w:rsidTr="00A6468A">
        <w:trPr>
          <w:trHeight w:val="580"/>
        </w:trPr>
        <w:tc>
          <w:tcPr>
            <w:tcW w:w="4945" w:type="dxa"/>
            <w:noWrap/>
            <w:hideMark/>
          </w:tcPr>
          <w:p w14:paraId="58B2B653"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Pneumatics</w:t>
            </w:r>
          </w:p>
        </w:tc>
        <w:tc>
          <w:tcPr>
            <w:tcW w:w="1800" w:type="dxa"/>
            <w:noWrap/>
            <w:hideMark/>
          </w:tcPr>
          <w:p w14:paraId="5B097AA6"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$ 2,744.71 </w:t>
            </w:r>
          </w:p>
        </w:tc>
        <w:tc>
          <w:tcPr>
            <w:tcW w:w="2610" w:type="dxa"/>
            <w:noWrap/>
            <w:hideMark/>
          </w:tcPr>
          <w:p w14:paraId="15B30CBF"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NMED 95</w:t>
            </w:r>
          </w:p>
        </w:tc>
      </w:tr>
      <w:tr w:rsidR="00B02F67" w:rsidRPr="003D658E" w14:paraId="5A617695" w14:textId="77777777" w:rsidTr="00A6468A">
        <w:trPr>
          <w:trHeight w:val="290"/>
        </w:trPr>
        <w:tc>
          <w:tcPr>
            <w:tcW w:w="4945" w:type="dxa"/>
            <w:noWrap/>
            <w:hideMark/>
          </w:tcPr>
          <w:p w14:paraId="4A2EB60D"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Heaters - NO</w:t>
            </w:r>
            <w:r>
              <w:rPr>
                <w:rFonts w:eastAsia="Times New Roman" w:cs="Times New Roman"/>
                <w:color w:val="000000"/>
                <w:szCs w:val="24"/>
              </w:rPr>
              <w:t>x</w:t>
            </w:r>
          </w:p>
        </w:tc>
        <w:tc>
          <w:tcPr>
            <w:tcW w:w="1800" w:type="dxa"/>
            <w:noWrap/>
            <w:hideMark/>
          </w:tcPr>
          <w:p w14:paraId="7D0AE1F1"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$ 3,010.00 </w:t>
            </w:r>
          </w:p>
        </w:tc>
        <w:tc>
          <w:tcPr>
            <w:tcW w:w="2610" w:type="dxa"/>
            <w:noWrap/>
            <w:hideMark/>
          </w:tcPr>
          <w:p w14:paraId="258AD6DC"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NMED Reb</w:t>
            </w:r>
            <w:r>
              <w:rPr>
                <w:rFonts w:eastAsia="Times New Roman" w:cs="Times New Roman"/>
                <w:color w:val="000000"/>
                <w:szCs w:val="24"/>
              </w:rPr>
              <w:t>uttal</w:t>
            </w:r>
            <w:r w:rsidRPr="003D658E">
              <w:rPr>
                <w:rFonts w:eastAsia="Times New Roman" w:cs="Times New Roman"/>
                <w:color w:val="000000"/>
                <w:szCs w:val="24"/>
              </w:rPr>
              <w:t xml:space="preserve"> 27</w:t>
            </w:r>
          </w:p>
        </w:tc>
      </w:tr>
      <w:tr w:rsidR="00B02F67" w:rsidRPr="003D658E" w14:paraId="199775EB" w14:textId="77777777" w:rsidTr="00A6468A">
        <w:trPr>
          <w:trHeight w:val="290"/>
        </w:trPr>
        <w:tc>
          <w:tcPr>
            <w:tcW w:w="4945" w:type="dxa"/>
            <w:noWrap/>
            <w:hideMark/>
          </w:tcPr>
          <w:p w14:paraId="680F28F7"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Turbines - N</w:t>
            </w:r>
            <w:r>
              <w:rPr>
                <w:rFonts w:eastAsia="Times New Roman" w:cs="Times New Roman"/>
                <w:color w:val="000000"/>
                <w:szCs w:val="24"/>
              </w:rPr>
              <w:t>Ox</w:t>
            </w:r>
          </w:p>
        </w:tc>
        <w:tc>
          <w:tcPr>
            <w:tcW w:w="1800" w:type="dxa"/>
            <w:noWrap/>
            <w:hideMark/>
          </w:tcPr>
          <w:p w14:paraId="28A368B8"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$ 3,214.00 </w:t>
            </w:r>
          </w:p>
        </w:tc>
        <w:tc>
          <w:tcPr>
            <w:tcW w:w="2610" w:type="dxa"/>
            <w:noWrap/>
            <w:hideMark/>
          </w:tcPr>
          <w:p w14:paraId="1FF51E48"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NMED Reb</w:t>
            </w:r>
            <w:r>
              <w:rPr>
                <w:rFonts w:eastAsia="Times New Roman" w:cs="Times New Roman"/>
                <w:color w:val="000000"/>
                <w:szCs w:val="24"/>
              </w:rPr>
              <w:t>uttal</w:t>
            </w:r>
            <w:r w:rsidRPr="003D658E">
              <w:rPr>
                <w:rFonts w:eastAsia="Times New Roman" w:cs="Times New Roman"/>
                <w:color w:val="000000"/>
                <w:szCs w:val="24"/>
              </w:rPr>
              <w:t xml:space="preserve"> 26</w:t>
            </w:r>
          </w:p>
        </w:tc>
      </w:tr>
      <w:tr w:rsidR="00B02F67" w:rsidRPr="003D658E" w14:paraId="349019FE" w14:textId="77777777" w:rsidTr="00A6468A">
        <w:trPr>
          <w:trHeight w:val="290"/>
        </w:trPr>
        <w:tc>
          <w:tcPr>
            <w:tcW w:w="4945" w:type="dxa"/>
            <w:noWrap/>
            <w:hideMark/>
          </w:tcPr>
          <w:p w14:paraId="62936FF7"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LDAR - wellhead</w:t>
            </w:r>
          </w:p>
        </w:tc>
        <w:tc>
          <w:tcPr>
            <w:tcW w:w="1800" w:type="dxa"/>
            <w:noWrap/>
            <w:hideMark/>
          </w:tcPr>
          <w:p w14:paraId="4D3B4E64"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$ 3,505.66 </w:t>
            </w:r>
          </w:p>
        </w:tc>
        <w:tc>
          <w:tcPr>
            <w:tcW w:w="2610" w:type="dxa"/>
            <w:noWrap/>
            <w:hideMark/>
          </w:tcPr>
          <w:p w14:paraId="773B2F3C"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NMED 69</w:t>
            </w:r>
          </w:p>
        </w:tc>
      </w:tr>
      <w:tr w:rsidR="00B02F67" w:rsidRPr="003D658E" w14:paraId="3F7A742E" w14:textId="77777777" w:rsidTr="00A6468A">
        <w:trPr>
          <w:trHeight w:val="290"/>
        </w:trPr>
        <w:tc>
          <w:tcPr>
            <w:tcW w:w="4945" w:type="dxa"/>
            <w:noWrap/>
            <w:hideMark/>
          </w:tcPr>
          <w:p w14:paraId="1741EF3B"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Glycol Dehydrators - Combustion</w:t>
            </w:r>
          </w:p>
        </w:tc>
        <w:tc>
          <w:tcPr>
            <w:tcW w:w="1800" w:type="dxa"/>
            <w:noWrap/>
            <w:hideMark/>
          </w:tcPr>
          <w:p w14:paraId="5783689F"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$ 3,919.63 </w:t>
            </w:r>
          </w:p>
        </w:tc>
        <w:tc>
          <w:tcPr>
            <w:tcW w:w="2610" w:type="dxa"/>
            <w:noWrap/>
            <w:hideMark/>
          </w:tcPr>
          <w:p w14:paraId="675192D2"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NMED 77</w:t>
            </w:r>
          </w:p>
        </w:tc>
      </w:tr>
      <w:tr w:rsidR="00B02F67" w:rsidRPr="003D658E" w14:paraId="2A98DA17" w14:textId="77777777" w:rsidTr="00A6468A">
        <w:trPr>
          <w:trHeight w:val="290"/>
        </w:trPr>
        <w:tc>
          <w:tcPr>
            <w:tcW w:w="4945" w:type="dxa"/>
            <w:noWrap/>
            <w:hideMark/>
          </w:tcPr>
          <w:p w14:paraId="57C7E625"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 xml:space="preserve">Existing tank </w:t>
            </w:r>
            <w:r>
              <w:rPr>
                <w:rFonts w:eastAsia="Times New Roman" w:cs="Times New Roman"/>
                <w:color w:val="000000"/>
                <w:szCs w:val="24"/>
              </w:rPr>
              <w:t>–</w:t>
            </w:r>
            <w:r w:rsidRPr="003D658E">
              <w:rPr>
                <w:rFonts w:eastAsia="Times New Roman" w:cs="Times New Roman"/>
                <w:color w:val="000000"/>
                <w:szCs w:val="24"/>
              </w:rPr>
              <w:t xml:space="preserve"> 6</w:t>
            </w:r>
            <w:r>
              <w:rPr>
                <w:rFonts w:eastAsia="Times New Roman" w:cs="Times New Roman"/>
                <w:color w:val="000000"/>
                <w:szCs w:val="24"/>
              </w:rPr>
              <w:t xml:space="preserve"> </w:t>
            </w:r>
            <w:proofErr w:type="spellStart"/>
            <w:r w:rsidRPr="003D658E">
              <w:rPr>
                <w:rFonts w:eastAsia="Times New Roman" w:cs="Times New Roman"/>
                <w:color w:val="000000"/>
                <w:szCs w:val="24"/>
              </w:rPr>
              <w:t>tpy</w:t>
            </w:r>
            <w:proofErr w:type="spellEnd"/>
          </w:p>
        </w:tc>
        <w:tc>
          <w:tcPr>
            <w:tcW w:w="1800" w:type="dxa"/>
            <w:noWrap/>
            <w:hideMark/>
          </w:tcPr>
          <w:p w14:paraId="2AD506B0"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$ 4,593.00 </w:t>
            </w:r>
          </w:p>
        </w:tc>
        <w:tc>
          <w:tcPr>
            <w:tcW w:w="2610" w:type="dxa"/>
            <w:noWrap/>
            <w:hideMark/>
          </w:tcPr>
          <w:p w14:paraId="496E6155"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NMOGA 62/NMED Reb. 28</w:t>
            </w:r>
          </w:p>
        </w:tc>
      </w:tr>
      <w:tr w:rsidR="00B02F67" w:rsidRPr="003D658E" w14:paraId="2AAFB248" w14:textId="77777777" w:rsidTr="00A6468A">
        <w:trPr>
          <w:trHeight w:val="290"/>
        </w:trPr>
        <w:tc>
          <w:tcPr>
            <w:tcW w:w="4945" w:type="dxa"/>
            <w:noWrap/>
            <w:hideMark/>
          </w:tcPr>
          <w:p w14:paraId="44F36086"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LDAR - Non-wellhead</w:t>
            </w:r>
          </w:p>
        </w:tc>
        <w:tc>
          <w:tcPr>
            <w:tcW w:w="1800" w:type="dxa"/>
            <w:noWrap/>
            <w:hideMark/>
          </w:tcPr>
          <w:p w14:paraId="47CAC90C"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$ 5,099.99 </w:t>
            </w:r>
          </w:p>
        </w:tc>
        <w:tc>
          <w:tcPr>
            <w:tcW w:w="2610" w:type="dxa"/>
            <w:noWrap/>
            <w:hideMark/>
          </w:tcPr>
          <w:p w14:paraId="498FBF6E"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NMED 69</w:t>
            </w:r>
          </w:p>
        </w:tc>
      </w:tr>
      <w:tr w:rsidR="00B02F67" w:rsidRPr="003D658E" w14:paraId="249B7809" w14:textId="77777777" w:rsidTr="00A6468A">
        <w:trPr>
          <w:trHeight w:val="290"/>
        </w:trPr>
        <w:tc>
          <w:tcPr>
            <w:tcW w:w="4945" w:type="dxa"/>
            <w:noWrap/>
            <w:hideMark/>
          </w:tcPr>
          <w:p w14:paraId="31574D66"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 xml:space="preserve">Existing </w:t>
            </w:r>
            <w:r>
              <w:rPr>
                <w:rFonts w:eastAsia="Times New Roman" w:cs="Times New Roman"/>
                <w:color w:val="000000"/>
                <w:szCs w:val="24"/>
              </w:rPr>
              <w:t xml:space="preserve">single </w:t>
            </w:r>
            <w:r w:rsidRPr="003D658E">
              <w:rPr>
                <w:rFonts w:eastAsia="Times New Roman" w:cs="Times New Roman"/>
                <w:color w:val="000000"/>
                <w:szCs w:val="24"/>
              </w:rPr>
              <w:t xml:space="preserve">tank </w:t>
            </w:r>
            <w:r>
              <w:rPr>
                <w:rFonts w:eastAsia="Times New Roman" w:cs="Times New Roman"/>
                <w:color w:val="000000"/>
                <w:szCs w:val="24"/>
              </w:rPr>
              <w:t>–</w:t>
            </w:r>
            <w:r w:rsidRPr="003D658E">
              <w:rPr>
                <w:rFonts w:eastAsia="Times New Roman" w:cs="Times New Roman"/>
                <w:color w:val="000000"/>
                <w:szCs w:val="24"/>
              </w:rPr>
              <w:t xml:space="preserve"> 5</w:t>
            </w:r>
            <w:r>
              <w:rPr>
                <w:rFonts w:eastAsia="Times New Roman" w:cs="Times New Roman"/>
                <w:color w:val="000000"/>
                <w:szCs w:val="24"/>
              </w:rPr>
              <w:t xml:space="preserve"> </w:t>
            </w:r>
            <w:proofErr w:type="spellStart"/>
            <w:r w:rsidRPr="003D658E">
              <w:rPr>
                <w:rFonts w:eastAsia="Times New Roman" w:cs="Times New Roman"/>
                <w:color w:val="000000"/>
                <w:szCs w:val="24"/>
              </w:rPr>
              <w:t>tpy</w:t>
            </w:r>
            <w:proofErr w:type="spellEnd"/>
          </w:p>
        </w:tc>
        <w:tc>
          <w:tcPr>
            <w:tcW w:w="1800" w:type="dxa"/>
            <w:noWrap/>
            <w:hideMark/>
          </w:tcPr>
          <w:p w14:paraId="7D410257"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$ 5,729.65 </w:t>
            </w:r>
          </w:p>
        </w:tc>
        <w:tc>
          <w:tcPr>
            <w:tcW w:w="2610" w:type="dxa"/>
            <w:noWrap/>
            <w:hideMark/>
          </w:tcPr>
          <w:p w14:paraId="4203BDF7"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NMOGA 62</w:t>
            </w:r>
          </w:p>
        </w:tc>
      </w:tr>
      <w:tr w:rsidR="00B02F67" w:rsidRPr="003D658E" w14:paraId="5BD1942D" w14:textId="77777777" w:rsidTr="00A6468A">
        <w:trPr>
          <w:trHeight w:val="290"/>
        </w:trPr>
        <w:tc>
          <w:tcPr>
            <w:tcW w:w="4945" w:type="dxa"/>
            <w:noWrap/>
            <w:hideMark/>
          </w:tcPr>
          <w:p w14:paraId="7B58B9CC"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Existing</w:t>
            </w:r>
            <w:r>
              <w:rPr>
                <w:rFonts w:eastAsia="Times New Roman" w:cs="Times New Roman"/>
                <w:color w:val="000000"/>
                <w:szCs w:val="24"/>
              </w:rPr>
              <w:t xml:space="preserve"> single</w:t>
            </w:r>
            <w:r w:rsidRPr="003D658E">
              <w:rPr>
                <w:rFonts w:eastAsia="Times New Roman" w:cs="Times New Roman"/>
                <w:color w:val="000000"/>
                <w:szCs w:val="24"/>
              </w:rPr>
              <w:t xml:space="preserve"> tank </w:t>
            </w:r>
            <w:r>
              <w:rPr>
                <w:rFonts w:eastAsia="Times New Roman" w:cs="Times New Roman"/>
                <w:color w:val="000000"/>
                <w:szCs w:val="24"/>
              </w:rPr>
              <w:t>–</w:t>
            </w:r>
            <w:r w:rsidRPr="003D658E">
              <w:rPr>
                <w:rFonts w:eastAsia="Times New Roman" w:cs="Times New Roman"/>
                <w:color w:val="000000"/>
                <w:szCs w:val="24"/>
              </w:rPr>
              <w:t xml:space="preserve"> 4</w:t>
            </w:r>
            <w:r>
              <w:rPr>
                <w:rFonts w:eastAsia="Times New Roman" w:cs="Times New Roman"/>
                <w:color w:val="000000"/>
                <w:szCs w:val="24"/>
              </w:rPr>
              <w:t xml:space="preserve"> </w:t>
            </w:r>
            <w:proofErr w:type="spellStart"/>
            <w:r w:rsidRPr="003D658E">
              <w:rPr>
                <w:rFonts w:eastAsia="Times New Roman" w:cs="Times New Roman"/>
                <w:color w:val="000000"/>
                <w:szCs w:val="24"/>
              </w:rPr>
              <w:t>tpy</w:t>
            </w:r>
            <w:proofErr w:type="spellEnd"/>
          </w:p>
        </w:tc>
        <w:tc>
          <w:tcPr>
            <w:tcW w:w="1800" w:type="dxa"/>
            <w:noWrap/>
            <w:hideMark/>
          </w:tcPr>
          <w:p w14:paraId="15DCC0B9"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$ 6,890.00 </w:t>
            </w:r>
          </w:p>
        </w:tc>
        <w:tc>
          <w:tcPr>
            <w:tcW w:w="2610" w:type="dxa"/>
            <w:noWrap/>
            <w:hideMark/>
          </w:tcPr>
          <w:p w14:paraId="50DA2530"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NMOGA 62/NMED Reb. 28</w:t>
            </w:r>
          </w:p>
        </w:tc>
      </w:tr>
      <w:tr w:rsidR="00B02F67" w:rsidRPr="003D658E" w14:paraId="7627B45F" w14:textId="77777777" w:rsidTr="00A6468A">
        <w:trPr>
          <w:trHeight w:val="290"/>
        </w:trPr>
        <w:tc>
          <w:tcPr>
            <w:tcW w:w="4945" w:type="dxa"/>
            <w:noWrap/>
            <w:hideMark/>
          </w:tcPr>
          <w:p w14:paraId="122E7837"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Turbines - VOC</w:t>
            </w:r>
          </w:p>
        </w:tc>
        <w:tc>
          <w:tcPr>
            <w:tcW w:w="1800" w:type="dxa"/>
            <w:noWrap/>
            <w:hideMark/>
          </w:tcPr>
          <w:p w14:paraId="1BC67EBE" w14:textId="77777777" w:rsidR="00B02F67" w:rsidRPr="003D658E" w:rsidRDefault="00B02F67" w:rsidP="00A6468A">
            <w:pPr>
              <w:jc w:val="right"/>
              <w:rPr>
                <w:rFonts w:eastAsia="Times New Roman" w:cs="Times New Roman"/>
                <w:color w:val="000000"/>
                <w:szCs w:val="24"/>
              </w:rPr>
            </w:pPr>
            <w:r w:rsidRPr="00381439">
              <w:rPr>
                <w:rFonts w:cs="Times New Roman"/>
                <w:color w:val="000000"/>
                <w:szCs w:val="24"/>
              </w:rPr>
              <w:t xml:space="preserve"> $ 9,608.25 </w:t>
            </w:r>
          </w:p>
        </w:tc>
        <w:tc>
          <w:tcPr>
            <w:tcW w:w="2610" w:type="dxa"/>
            <w:noWrap/>
            <w:hideMark/>
          </w:tcPr>
          <w:p w14:paraId="28F911AC" w14:textId="77777777" w:rsidR="00B02F67" w:rsidRPr="003D658E" w:rsidRDefault="00B02F67" w:rsidP="00A6468A">
            <w:pPr>
              <w:rPr>
                <w:rFonts w:eastAsia="Times New Roman" w:cs="Times New Roman"/>
                <w:color w:val="000000"/>
                <w:szCs w:val="24"/>
              </w:rPr>
            </w:pPr>
            <w:r w:rsidRPr="003D658E">
              <w:rPr>
                <w:rFonts w:eastAsia="Times New Roman" w:cs="Times New Roman"/>
                <w:color w:val="000000"/>
                <w:szCs w:val="24"/>
              </w:rPr>
              <w:t>NMED 59</w:t>
            </w:r>
          </w:p>
        </w:tc>
      </w:tr>
    </w:tbl>
    <w:p w14:paraId="6C3F85E3" w14:textId="77777777" w:rsidR="00B02F67" w:rsidRDefault="00B02F67" w:rsidP="00B02F67">
      <w:pPr>
        <w:spacing w:after="0" w:line="480" w:lineRule="auto"/>
        <w:ind w:firstLine="720"/>
        <w:jc w:val="both"/>
        <w:rPr>
          <w:bCs/>
        </w:rPr>
      </w:pPr>
    </w:p>
    <w:p w14:paraId="5C004C86" w14:textId="487E99C0" w:rsidR="00B02F67" w:rsidRDefault="00B02F67" w:rsidP="00B02F67">
      <w:pPr>
        <w:spacing w:after="0" w:line="480" w:lineRule="auto"/>
        <w:ind w:firstLine="720"/>
        <w:jc w:val="both"/>
        <w:rPr>
          <w:bCs/>
        </w:rPr>
      </w:pPr>
      <w:r>
        <w:rPr>
          <w:bCs/>
        </w:rPr>
        <w:t xml:space="preserve">The cost-per-ton of controlling VOC emissions from turbines is an outlier at $9,608.24/ton and should not be used to establish the ceiling of cost-effectiveness in this rule or to justify the 4 </w:t>
      </w:r>
      <w:proofErr w:type="spellStart"/>
      <w:r>
        <w:rPr>
          <w:bCs/>
        </w:rPr>
        <w:t>tpy</w:t>
      </w:r>
      <w:proofErr w:type="spellEnd"/>
      <w:r>
        <w:rPr>
          <w:bCs/>
        </w:rPr>
        <w:t xml:space="preserve"> threshold for existing single tank</w:t>
      </w:r>
      <w:r w:rsidR="00A0736C">
        <w:rPr>
          <w:bCs/>
        </w:rPr>
        <w:t>s</w:t>
      </w:r>
      <w:r>
        <w:rPr>
          <w:bCs/>
        </w:rPr>
        <w:t xml:space="preserve">. Turbines are expensive units, located at large facilities where millions of dollars have been invested in infrastructure and equipment.  As Mr. Brindley testified, these “very expensive and very large” </w:t>
      </w:r>
      <w:proofErr w:type="gramStart"/>
      <w:r>
        <w:rPr>
          <w:bCs/>
        </w:rPr>
        <w:t>units</w:t>
      </w:r>
      <w:proofErr w:type="gramEnd"/>
      <w:r>
        <w:rPr>
          <w:bCs/>
        </w:rPr>
        <w:t xml:space="preserve"> range anywhere from $7 million to in excess </w:t>
      </w:r>
      <w:r>
        <w:rPr>
          <w:bCs/>
        </w:rPr>
        <w:lastRenderedPageBreak/>
        <w:t xml:space="preserve">of $10 million. Tr. </w:t>
      </w:r>
      <w:r w:rsidRPr="00F474FB">
        <w:rPr>
          <w:bCs/>
        </w:rPr>
        <w:t>6:1806:12-14; 6:1807:4-17</w:t>
      </w:r>
      <w:r>
        <w:rPr>
          <w:bCs/>
        </w:rPr>
        <w:t>. Contrarily, existing single tank</w:t>
      </w:r>
      <w:r w:rsidR="00A0736C">
        <w:rPr>
          <w:bCs/>
        </w:rPr>
        <w:t>s</w:t>
      </w:r>
      <w:r>
        <w:rPr>
          <w:bCs/>
        </w:rPr>
        <w:t xml:space="preserve"> are commonly associated with single well sites that are past their production prime. These sites are often owned and operated by small, independent operators who cannot afford excessively expensive controls. Testimony of Meyer, Tr. 9:2914:10-17</w:t>
      </w:r>
    </w:p>
    <w:p w14:paraId="1284A2A6" w14:textId="32569E16" w:rsidR="00B02F67" w:rsidRDefault="00B02F67" w:rsidP="00B02F67">
      <w:pPr>
        <w:spacing w:after="0" w:line="480" w:lineRule="auto"/>
        <w:ind w:firstLine="720"/>
        <w:jc w:val="both"/>
        <w:rPr>
          <w:bCs/>
        </w:rPr>
      </w:pPr>
      <w:r>
        <w:rPr>
          <w:bCs/>
        </w:rPr>
        <w:t xml:space="preserve">Eliminating the VOC turbine controls from consideration, the next highest cost-per-ton presented is </w:t>
      </w:r>
      <w:r w:rsidR="00A0736C">
        <w:rPr>
          <w:bCs/>
        </w:rPr>
        <w:t xml:space="preserve">for </w:t>
      </w:r>
      <w:r>
        <w:rPr>
          <w:bCs/>
        </w:rPr>
        <w:t>existing single tank</w:t>
      </w:r>
      <w:r w:rsidR="00A0736C">
        <w:rPr>
          <w:bCs/>
        </w:rPr>
        <w:t>s</w:t>
      </w:r>
      <w:r>
        <w:rPr>
          <w:bCs/>
        </w:rPr>
        <w:t xml:space="preserve"> at the 4 </w:t>
      </w:r>
      <w:proofErr w:type="spellStart"/>
      <w:r>
        <w:rPr>
          <w:bCs/>
        </w:rPr>
        <w:t>tpy</w:t>
      </w:r>
      <w:proofErr w:type="spellEnd"/>
      <w:r>
        <w:rPr>
          <w:bCs/>
        </w:rPr>
        <w:t xml:space="preserve"> and 5 </w:t>
      </w:r>
      <w:proofErr w:type="spellStart"/>
      <w:r>
        <w:rPr>
          <w:bCs/>
        </w:rPr>
        <w:t>tpy</w:t>
      </w:r>
      <w:proofErr w:type="spellEnd"/>
      <w:r>
        <w:rPr>
          <w:bCs/>
        </w:rPr>
        <w:t xml:space="preserve"> threshold, which cost $6,890 and $5,792.64 per ton respectively. This </w:t>
      </w:r>
      <w:proofErr w:type="gramStart"/>
      <w:r>
        <w:rPr>
          <w:bCs/>
        </w:rPr>
        <w:t>actually understates</w:t>
      </w:r>
      <w:proofErr w:type="gramEnd"/>
      <w:r>
        <w:rPr>
          <w:bCs/>
        </w:rPr>
        <w:t xml:space="preserve"> the impact on a small operator, who will be required to spend the full cost (almost $150,000, see NMOGA Exhibit 61) upon installation and may or may not be able to get a financing.  </w:t>
      </w:r>
      <w:r>
        <w:rPr>
          <w:bCs/>
          <w:i/>
          <w:iCs/>
        </w:rPr>
        <w:t xml:space="preserve">See </w:t>
      </w:r>
      <w:r>
        <w:rPr>
          <w:bCs/>
        </w:rPr>
        <w:t xml:space="preserve">Bisbey-Kuehn testimony, Tr. </w:t>
      </w:r>
      <w:r w:rsidRPr="00853AE3">
        <w:rPr>
          <w:bCs/>
        </w:rPr>
        <w:t>3:879:16-20</w:t>
      </w:r>
      <w:r>
        <w:rPr>
          <w:bCs/>
        </w:rPr>
        <w:t xml:space="preserve"> (“</w:t>
      </w:r>
      <w:r w:rsidRPr="00853AE3">
        <w:rPr>
          <w:bCs/>
        </w:rPr>
        <w:t>Small and large companies may operate within the same industrial sector; however, the differences in how these companies operate in their ability to finance, and its capital, and the well size can affect their operations.</w:t>
      </w:r>
      <w:r>
        <w:rPr>
          <w:bCs/>
        </w:rPr>
        <w:t xml:space="preserve">”). The costliest measures of 20.2.50 NMAC should not be imposed upon equipment commonly used by small operators at low-production facilities. These sources do not warrant such severe regulation. </w:t>
      </w:r>
    </w:p>
    <w:p w14:paraId="05607859" w14:textId="2E6170E0" w:rsidR="00B02F67" w:rsidRDefault="00B02F67" w:rsidP="00B02F67">
      <w:pPr>
        <w:spacing w:after="0" w:line="480" w:lineRule="auto"/>
        <w:ind w:firstLine="720"/>
        <w:jc w:val="both"/>
        <w:rPr>
          <w:bCs/>
        </w:rPr>
      </w:pPr>
      <w:r>
        <w:rPr>
          <w:bCs/>
        </w:rPr>
        <w:t>Instead, NMOGA is advocating for an applicability threshold of 6 tons VOC for existing single tank</w:t>
      </w:r>
      <w:r w:rsidR="008E2340">
        <w:rPr>
          <w:bCs/>
        </w:rPr>
        <w:t>s</w:t>
      </w:r>
      <w:r>
        <w:rPr>
          <w:bCs/>
        </w:rPr>
        <w:t xml:space="preserve"> with a cost-effectiveness of $</w:t>
      </w:r>
      <w:r w:rsidRPr="003D658E">
        <w:rPr>
          <w:rFonts w:eastAsia="Times New Roman" w:cs="Times New Roman"/>
          <w:color w:val="000000"/>
          <w:szCs w:val="24"/>
        </w:rPr>
        <w:t>4</w:t>
      </w:r>
      <w:r>
        <w:rPr>
          <w:rFonts w:eastAsia="Times New Roman" w:cs="Times New Roman"/>
          <w:color w:val="000000"/>
          <w:szCs w:val="24"/>
        </w:rPr>
        <w:t>,</w:t>
      </w:r>
      <w:r w:rsidRPr="003D658E">
        <w:rPr>
          <w:rFonts w:eastAsia="Times New Roman" w:cs="Times New Roman"/>
          <w:color w:val="000000"/>
          <w:szCs w:val="24"/>
        </w:rPr>
        <w:t>593</w:t>
      </w:r>
      <w:r>
        <w:rPr>
          <w:rFonts w:eastAsia="Times New Roman" w:cs="Times New Roman"/>
          <w:color w:val="000000"/>
          <w:szCs w:val="24"/>
        </w:rPr>
        <w:t xml:space="preserve"> per ton. This is an aggressive proposal. T</w:t>
      </w:r>
      <w:r>
        <w:rPr>
          <w:bCs/>
        </w:rPr>
        <w:t xml:space="preserve">his would make the existing single tank standards the costliest standards under 20.2.50 NMAC, </w:t>
      </w:r>
      <w:proofErr w:type="gramStart"/>
      <w:r>
        <w:rPr>
          <w:bCs/>
        </w:rPr>
        <w:t>with the exception of</w:t>
      </w:r>
      <w:proofErr w:type="gramEnd"/>
      <w:r>
        <w:rPr>
          <w:bCs/>
        </w:rPr>
        <w:t xml:space="preserve"> the $</w:t>
      </w:r>
      <w:r w:rsidRPr="003D658E">
        <w:rPr>
          <w:rFonts w:eastAsia="Times New Roman" w:cs="Times New Roman"/>
          <w:color w:val="000000"/>
          <w:szCs w:val="24"/>
        </w:rPr>
        <w:t>5099.99</w:t>
      </w:r>
      <w:r>
        <w:rPr>
          <w:rFonts w:eastAsia="Times New Roman" w:cs="Times New Roman"/>
          <w:color w:val="000000"/>
          <w:szCs w:val="24"/>
        </w:rPr>
        <w:t xml:space="preserve">/ton VOC reduced </w:t>
      </w:r>
      <w:r>
        <w:rPr>
          <w:bCs/>
        </w:rPr>
        <w:t xml:space="preserve">threshold for leak detection and repair requirements for non-wellhead facilities under 20.2.50.116 NMAC and the turbine standards discussed above. </w:t>
      </w:r>
    </w:p>
    <w:p w14:paraId="60F5B117" w14:textId="77777777" w:rsidR="00B02F67" w:rsidRDefault="00B02F67" w:rsidP="00B02F67">
      <w:pPr>
        <w:spacing w:after="0" w:line="480" w:lineRule="auto"/>
        <w:ind w:firstLine="720"/>
        <w:jc w:val="both"/>
        <w:rPr>
          <w:bCs/>
        </w:rPr>
      </w:pPr>
      <w:r>
        <w:rPr>
          <w:bCs/>
        </w:rPr>
        <w:t>For these reasons,</w:t>
      </w:r>
      <w:r w:rsidRPr="009750F4">
        <w:rPr>
          <w:bCs/>
        </w:rPr>
        <w:t xml:space="preserve"> NMOGA believes that a </w:t>
      </w:r>
      <w:r>
        <w:rPr>
          <w:bCs/>
        </w:rPr>
        <w:t>6</w:t>
      </w:r>
      <w:r w:rsidRPr="009750F4">
        <w:rPr>
          <w:bCs/>
        </w:rPr>
        <w:t xml:space="preserve"> </w:t>
      </w:r>
      <w:proofErr w:type="spellStart"/>
      <w:r w:rsidRPr="009750F4">
        <w:rPr>
          <w:bCs/>
        </w:rPr>
        <w:t>tpy</w:t>
      </w:r>
      <w:proofErr w:type="spellEnd"/>
      <w:r w:rsidRPr="009750F4">
        <w:rPr>
          <w:bCs/>
        </w:rPr>
        <w:t xml:space="preserve"> threshold for single-tank tank batteries</w:t>
      </w:r>
      <w:r>
        <w:rPr>
          <w:bCs/>
        </w:rPr>
        <w:t xml:space="preserve"> should be adopted.</w:t>
      </w:r>
    </w:p>
    <w:p w14:paraId="4C97B97D" w14:textId="77777777" w:rsidR="00B02F67" w:rsidRPr="00661096" w:rsidRDefault="00B02F67" w:rsidP="00661096">
      <w:pPr>
        <w:pStyle w:val="Heading2"/>
      </w:pPr>
      <w:bookmarkStart w:id="17" w:name="_Toc93563261"/>
      <w:r>
        <w:t>Small Business Facilities</w:t>
      </w:r>
      <w:r w:rsidRPr="00CE46C5">
        <w:t>, 20.2.50.12</w:t>
      </w:r>
      <w:r>
        <w:t>5</w:t>
      </w:r>
      <w:r w:rsidRPr="00CE46C5">
        <w:t xml:space="preserve"> NMAC.</w:t>
      </w:r>
      <w:bookmarkEnd w:id="17"/>
      <w:r>
        <w:t xml:space="preserve"> </w:t>
      </w:r>
    </w:p>
    <w:p w14:paraId="73B3CD18" w14:textId="11F55C68" w:rsidR="00B02F67" w:rsidRPr="008B2692" w:rsidRDefault="00B02F67" w:rsidP="00B02F67">
      <w:pPr>
        <w:pStyle w:val="CommentText"/>
        <w:spacing w:line="480" w:lineRule="auto"/>
        <w:ind w:firstLine="720"/>
        <w:rPr>
          <w:bCs/>
          <w:sz w:val="24"/>
          <w:szCs w:val="22"/>
        </w:rPr>
      </w:pPr>
      <w:r>
        <w:rPr>
          <w:bCs/>
          <w:sz w:val="24"/>
          <w:szCs w:val="22"/>
        </w:rPr>
        <w:lastRenderedPageBreak/>
        <w:t xml:space="preserve">NMOGA supports the position of IPANM on the appropriate contours of the Small Business Facilities provision.   </w:t>
      </w:r>
    </w:p>
    <w:p w14:paraId="53D00602" w14:textId="77777777" w:rsidR="00B02F67" w:rsidRPr="00661096" w:rsidRDefault="00B02F67" w:rsidP="00661096">
      <w:pPr>
        <w:pStyle w:val="Heading2"/>
      </w:pPr>
      <w:bookmarkStart w:id="18" w:name="_Toc93563262"/>
      <w:r>
        <w:t>Produced Water Management Units</w:t>
      </w:r>
      <w:r w:rsidRPr="00CE46C5">
        <w:t>, 20.2.50.12</w:t>
      </w:r>
      <w:r>
        <w:t>6</w:t>
      </w:r>
      <w:r w:rsidRPr="00CE46C5">
        <w:t xml:space="preserve"> NMAC.</w:t>
      </w:r>
      <w:r>
        <w:t xml:space="preserve"> The Department Should Exclude Recycling Facilities from the Definition of Produced Water Management Units.</w:t>
      </w:r>
      <w:bookmarkEnd w:id="18"/>
      <w:r>
        <w:t xml:space="preserve"> </w:t>
      </w:r>
    </w:p>
    <w:p w14:paraId="6E8350F7" w14:textId="44E5EE1D" w:rsidR="00B02F67" w:rsidRDefault="00B02F67" w:rsidP="00B02F67">
      <w:pPr>
        <w:spacing w:after="0" w:line="480" w:lineRule="auto"/>
        <w:ind w:firstLine="720"/>
        <w:jc w:val="both"/>
        <w:rPr>
          <w:bCs/>
        </w:rPr>
      </w:pPr>
      <w:r>
        <w:rPr>
          <w:bCs/>
        </w:rPr>
        <w:t xml:space="preserve">The </w:t>
      </w:r>
      <w:r w:rsidR="0045449C">
        <w:rPr>
          <w:bCs/>
        </w:rPr>
        <w:t>D</w:t>
      </w:r>
      <w:r>
        <w:rPr>
          <w:bCs/>
        </w:rPr>
        <w:t>epartment has made significant improvements to the produced water management unit standards under 20.2.50.126 NMAC by eliminating</w:t>
      </w:r>
      <w:r w:rsidRPr="001D3092">
        <w:rPr>
          <w:bCs/>
        </w:rPr>
        <w:t xml:space="preserve"> </w:t>
      </w:r>
      <w:r>
        <w:rPr>
          <w:bCs/>
        </w:rPr>
        <w:t xml:space="preserve">arbitrary emissions limits and unproven requirements to apply covers that route vapors to air pollution control devices. With available technology, these standards would have required the oil and gas industry to reduce the size of recycling operations and, in some cases, resort to freshwater. The </w:t>
      </w:r>
      <w:r w:rsidR="00F70A8E">
        <w:rPr>
          <w:bCs/>
        </w:rPr>
        <w:t>D</w:t>
      </w:r>
      <w:r>
        <w:rPr>
          <w:bCs/>
        </w:rPr>
        <w:t xml:space="preserve">epartment has responded to these concerns by imposing requirements that are achievable with current technology and largely preserve industry’s ability to continue recycling activities. </w:t>
      </w:r>
    </w:p>
    <w:p w14:paraId="3EC6168E" w14:textId="77777777" w:rsidR="00B02F67" w:rsidRDefault="00B02F67" w:rsidP="00B02F67">
      <w:pPr>
        <w:spacing w:after="0" w:line="480" w:lineRule="auto"/>
        <w:ind w:firstLine="720"/>
        <w:jc w:val="both"/>
        <w:rPr>
          <w:bCs/>
        </w:rPr>
      </w:pPr>
      <w:r>
        <w:rPr>
          <w:bCs/>
        </w:rPr>
        <w:t xml:space="preserve">To further protect the industry’s important recycling activities, NMOGA urges the Board to exclude recycling facilities from the definition of produced water management units altogether. Several technical witnesses have urged the Department to make this change. </w:t>
      </w:r>
      <w:r>
        <w:rPr>
          <w:bCs/>
          <w:i/>
          <w:iCs/>
        </w:rPr>
        <w:t xml:space="preserve">See </w:t>
      </w:r>
      <w:r>
        <w:rPr>
          <w:bCs/>
        </w:rPr>
        <w:t xml:space="preserve">Campsie, CDG Exhibit B, 8:9-15; Campsie, CDG Reb. Ex. B, 4:7-16; Cooper, CDG Reb. Ex. E, 7:11-18. This change is particularly important to clearly exclude </w:t>
      </w:r>
      <w:r w:rsidRPr="002427D3">
        <w:rPr>
          <w:bCs/>
        </w:rPr>
        <w:t>recycling facilities that are not at frac ponds or pits, often called Recycle on the Fly (</w:t>
      </w:r>
      <w:r>
        <w:rPr>
          <w:bCs/>
        </w:rPr>
        <w:t>“</w:t>
      </w:r>
      <w:r w:rsidRPr="002427D3">
        <w:rPr>
          <w:bCs/>
        </w:rPr>
        <w:t>ROTF</w:t>
      </w:r>
      <w:r>
        <w:rPr>
          <w:bCs/>
        </w:rPr>
        <w:t>”</w:t>
      </w:r>
      <w:r w:rsidRPr="002427D3">
        <w:rPr>
          <w:bCs/>
        </w:rPr>
        <w:t>)</w:t>
      </w:r>
      <w:r>
        <w:rPr>
          <w:bCs/>
        </w:rPr>
        <w:t xml:space="preserve"> units</w:t>
      </w:r>
      <w:r w:rsidRPr="002427D3">
        <w:rPr>
          <w:bCs/>
        </w:rPr>
        <w:t>. ROTF are a collection of temporary tanks that move around to accommodate frac schedules. These facilities do not have pits or ponds</w:t>
      </w:r>
      <w:r>
        <w:rPr>
          <w:bCs/>
        </w:rPr>
        <w:t xml:space="preserve">. </w:t>
      </w:r>
      <w:r w:rsidRPr="002427D3">
        <w:rPr>
          <w:bCs/>
        </w:rPr>
        <w:t xml:space="preserve">Control options for these temporary facilities are very limited, and the tanks hold water that has already been through </w:t>
      </w:r>
      <w:r>
        <w:rPr>
          <w:bCs/>
        </w:rPr>
        <w:t>separation</w:t>
      </w:r>
      <w:r w:rsidRPr="002427D3">
        <w:rPr>
          <w:bCs/>
        </w:rPr>
        <w:t xml:space="preserve">. </w:t>
      </w:r>
      <w:r>
        <w:rPr>
          <w:bCs/>
        </w:rPr>
        <w:t>Any further control would require</w:t>
      </w:r>
      <w:r w:rsidRPr="002427D3">
        <w:rPr>
          <w:bCs/>
        </w:rPr>
        <w:t xml:space="preserve"> supplemental fuel and a temporary flare.</w:t>
      </w:r>
    </w:p>
    <w:p w14:paraId="505C251E" w14:textId="77777777" w:rsidR="00B02F67" w:rsidRDefault="00B02F67" w:rsidP="00B02F67">
      <w:pPr>
        <w:spacing w:after="0" w:line="480" w:lineRule="auto"/>
        <w:ind w:firstLine="720"/>
        <w:jc w:val="both"/>
        <w:rPr>
          <w:bCs/>
        </w:rPr>
      </w:pPr>
      <w:r>
        <w:rPr>
          <w:bCs/>
        </w:rPr>
        <w:t xml:space="preserve">The 50,000 </w:t>
      </w:r>
      <w:proofErr w:type="spellStart"/>
      <w:r>
        <w:rPr>
          <w:bCs/>
        </w:rPr>
        <w:t>bbl</w:t>
      </w:r>
      <w:proofErr w:type="spellEnd"/>
      <w:r>
        <w:rPr>
          <w:bCs/>
        </w:rPr>
        <w:t xml:space="preserve"> threshold contained in the definition of produced water management units will provide relief for some of these operations. NMOGA has provided minor revisions to that </w:t>
      </w:r>
      <w:r>
        <w:rPr>
          <w:bCs/>
        </w:rPr>
        <w:lastRenderedPageBreak/>
        <w:t xml:space="preserve">definition to clarify the applicability of the 50,000 </w:t>
      </w:r>
      <w:proofErr w:type="spellStart"/>
      <w:r>
        <w:rPr>
          <w:bCs/>
        </w:rPr>
        <w:t>bbl</w:t>
      </w:r>
      <w:proofErr w:type="spellEnd"/>
      <w:r>
        <w:rPr>
          <w:bCs/>
        </w:rPr>
        <w:t xml:space="preserve"> threshold to recycling facilities. NMOGA believes these changes are consistent with the original definition but provide additional clarity. While this clarification is helpful, NMOGA urges the Board to exclude recycling facilities altogether. A size threshold on recycling facilities does not encourage owners and operators to maximize produced water recycling, a result that is not within New Mexico’s public interest.</w:t>
      </w:r>
    </w:p>
    <w:p w14:paraId="7A08E070" w14:textId="77777777" w:rsidR="00B02F67" w:rsidRDefault="00B02F67" w:rsidP="00B02F67">
      <w:pPr>
        <w:spacing w:after="0" w:line="480" w:lineRule="auto"/>
        <w:ind w:firstLine="720"/>
        <w:jc w:val="both"/>
        <w:rPr>
          <w:bCs/>
        </w:rPr>
      </w:pPr>
      <w:r>
        <w:rPr>
          <w:bCs/>
        </w:rPr>
        <w:t>These requested changes will help ensure that the recycling activities critical to New Mexico’s future can continue unimpeded.</w:t>
      </w:r>
    </w:p>
    <w:p w14:paraId="41972226" w14:textId="77777777" w:rsidR="00B02F67" w:rsidRPr="00661096" w:rsidRDefault="00B02F67" w:rsidP="00661096">
      <w:pPr>
        <w:pStyle w:val="Heading2"/>
      </w:pPr>
      <w:bookmarkStart w:id="19" w:name="_Toc93563263"/>
      <w:r w:rsidRPr="000E42AE">
        <w:t xml:space="preserve">Credible Evidence, 20.2.50.127. </w:t>
      </w:r>
      <w:r>
        <w:t>The Board Should Adopt the Parties’ Stipulation.</w:t>
      </w:r>
      <w:bookmarkEnd w:id="19"/>
    </w:p>
    <w:p w14:paraId="5E05D036" w14:textId="77777777" w:rsidR="00B02F67" w:rsidRPr="0082325B" w:rsidRDefault="00B02F67" w:rsidP="00B02F67">
      <w:pPr>
        <w:spacing w:after="0" w:line="480" w:lineRule="auto"/>
        <w:ind w:firstLine="720"/>
        <w:jc w:val="both"/>
        <w:rPr>
          <w:bCs/>
        </w:rPr>
      </w:pPr>
      <w:r>
        <w:rPr>
          <w:bCs/>
        </w:rPr>
        <w:t>Under the Department’s May 6, 2021,</w:t>
      </w:r>
      <w:r>
        <w:t xml:space="preserve"> proposal at 20.2.50.127 NMAC, if “</w:t>
      </w:r>
      <w:r w:rsidRPr="00DA1C14">
        <w:t>credible information</w:t>
      </w:r>
      <w:r>
        <w:t>”</w:t>
      </w:r>
      <w:r w:rsidRPr="00DA1C14">
        <w:t xml:space="preserve"> indicate</w:t>
      </w:r>
      <w:r>
        <w:t>d</w:t>
      </w:r>
      <w:r w:rsidRPr="00DA1C14">
        <w:t xml:space="preserve"> that a source </w:t>
      </w:r>
      <w:r>
        <w:t>was</w:t>
      </w:r>
      <w:r w:rsidRPr="00DA1C14">
        <w:t xml:space="preserve"> not in compliance </w:t>
      </w:r>
      <w:r>
        <w:t>with 20.2.50</w:t>
      </w:r>
      <w:r w:rsidRPr="00DA1C14">
        <w:t xml:space="preserve">, the source </w:t>
      </w:r>
      <w:r>
        <w:t>was</w:t>
      </w:r>
      <w:r w:rsidRPr="00DA1C14">
        <w:t xml:space="preserve"> </w:t>
      </w:r>
      <w:r>
        <w:t>“</w:t>
      </w:r>
      <w:r w:rsidRPr="00DA1C14">
        <w:t>presumed to be in violation unless and until the owner or operator provide</w:t>
      </w:r>
      <w:r>
        <w:t>[d]</w:t>
      </w:r>
      <w:r w:rsidRPr="00DA1C14">
        <w:t xml:space="preserve"> credible evidence or information demonstrating otherwise.</w:t>
      </w:r>
      <w:r>
        <w:t>” The Department has since abandoned this proposal because all parties stipulated to alternative language. NMOGA urges the Board to adopt the language as stipulated. NMED’s original proposal would have allowed the department to violate its</w:t>
      </w:r>
      <w:r w:rsidRPr="0082325B">
        <w:rPr>
          <w:bCs/>
        </w:rPr>
        <w:t xml:space="preserve"> duty t</w:t>
      </w:r>
      <w:r>
        <w:rPr>
          <w:bCs/>
        </w:rPr>
        <w:t xml:space="preserve">o </w:t>
      </w:r>
      <w:r w:rsidRPr="0082325B">
        <w:rPr>
          <w:bCs/>
        </w:rPr>
        <w:t>conduct independent investigation</w:t>
      </w:r>
      <w:r>
        <w:rPr>
          <w:bCs/>
        </w:rPr>
        <w:t xml:space="preserve">s and base </w:t>
      </w:r>
      <w:r w:rsidRPr="0082325B">
        <w:rPr>
          <w:bCs/>
        </w:rPr>
        <w:t>enforcement decisions on informatio</w:t>
      </w:r>
      <w:r>
        <w:rPr>
          <w:bCs/>
        </w:rPr>
        <w:t xml:space="preserve">n, </w:t>
      </w:r>
      <w:r w:rsidRPr="0082325B">
        <w:rPr>
          <w:bCs/>
        </w:rPr>
        <w:t>not presumptions</w:t>
      </w:r>
      <w:r>
        <w:rPr>
          <w:bCs/>
        </w:rPr>
        <w:t>. NMSA</w:t>
      </w:r>
      <w:r w:rsidRPr="0082325B">
        <w:rPr>
          <w:bCs/>
        </w:rPr>
        <w:t xml:space="preserve"> 1978, §§ 74-2-5.</w:t>
      </w:r>
      <w:proofErr w:type="gramStart"/>
      <w:r w:rsidRPr="0082325B">
        <w:rPr>
          <w:bCs/>
        </w:rPr>
        <w:t>1.A</w:t>
      </w:r>
      <w:proofErr w:type="gramEnd"/>
      <w:r>
        <w:rPr>
          <w:bCs/>
        </w:rPr>
        <w:t xml:space="preserve">; </w:t>
      </w:r>
      <w:r w:rsidRPr="0082325B">
        <w:rPr>
          <w:bCs/>
        </w:rPr>
        <w:t>74-2-14.A</w:t>
      </w:r>
      <w:r>
        <w:rPr>
          <w:bCs/>
        </w:rPr>
        <w:t xml:space="preserve">. The original proposal also presented due process concerns, especially as it relates to the right to a presumption of innocence. </w:t>
      </w:r>
    </w:p>
    <w:p w14:paraId="2011A19A" w14:textId="77777777" w:rsidR="00B02F67" w:rsidRDefault="00B02F67" w:rsidP="00274441">
      <w:pPr>
        <w:pStyle w:val="Heading1"/>
        <w:rPr>
          <w:bCs/>
        </w:rPr>
      </w:pPr>
      <w:bookmarkStart w:id="20" w:name="_Toc93563264"/>
      <w:r>
        <w:t>CONCLUSION</w:t>
      </w:r>
      <w:bookmarkEnd w:id="20"/>
    </w:p>
    <w:p w14:paraId="5F715FB1" w14:textId="77777777" w:rsidR="00B02F67" w:rsidRPr="00101A73" w:rsidRDefault="00B02F67" w:rsidP="00B35857">
      <w:pPr>
        <w:spacing w:after="0" w:line="480" w:lineRule="auto"/>
        <w:ind w:firstLine="720"/>
        <w:rPr>
          <w:bCs/>
        </w:rPr>
      </w:pPr>
      <w:r>
        <w:rPr>
          <w:bCs/>
        </w:rPr>
        <w:t xml:space="preserve">NMOGA is appreciative of the department’s consideration of many of NMOGA’s comments in the pre-hearing and during the hearing.  NMOGA is deeply appreciative of the Board’s engagement during the hearing and obvious interest in determining what controls are in the best interest of New Mexico.  NMOGA offers these comments and arguments in the sincere belief that they will help the Board in reaching that best, most workable, decision for New </w:t>
      </w:r>
      <w:r>
        <w:rPr>
          <w:bCs/>
        </w:rPr>
        <w:lastRenderedPageBreak/>
        <w:t>Mexico that balances the ozone reductions against the cost and burden on the state, its people, and its businesses and their employees.</w:t>
      </w:r>
    </w:p>
    <w:p w14:paraId="5B508F7F" w14:textId="77777777" w:rsidR="00AF0E9D" w:rsidRDefault="00AF0E9D" w:rsidP="007E06E4">
      <w:pPr>
        <w:jc w:val="center"/>
        <w:rPr>
          <w:rFonts w:cs="Times New Roman"/>
          <w:b/>
          <w:color w:val="000000" w:themeColor="text1"/>
          <w:szCs w:val="24"/>
        </w:rPr>
      </w:pPr>
    </w:p>
    <w:p w14:paraId="3C9DF2DF" w14:textId="77777777" w:rsidR="00AF0E9D" w:rsidRDefault="00AF0E9D" w:rsidP="00AF0E9D">
      <w:pPr>
        <w:spacing w:after="0" w:line="480" w:lineRule="auto"/>
        <w:ind w:firstLine="720"/>
      </w:pPr>
    </w:p>
    <w:p w14:paraId="127B38E5" w14:textId="77777777" w:rsidR="00AF0E9D" w:rsidRPr="00700D99" w:rsidRDefault="00AF0E9D" w:rsidP="00AF0E9D">
      <w:pPr>
        <w:spacing w:after="240"/>
        <w:ind w:left="4320"/>
        <w:rPr>
          <w:rFonts w:cs="Times New Roman"/>
          <w:szCs w:val="24"/>
        </w:rPr>
      </w:pPr>
      <w:r w:rsidRPr="00700D99">
        <w:rPr>
          <w:rFonts w:cs="Times New Roman"/>
          <w:szCs w:val="24"/>
        </w:rPr>
        <w:t>Respectfully submitted,</w:t>
      </w:r>
    </w:p>
    <w:p w14:paraId="1C42618A" w14:textId="77777777" w:rsidR="00AF0E9D" w:rsidRPr="00700D99" w:rsidRDefault="00AF0E9D" w:rsidP="00AF0E9D">
      <w:pPr>
        <w:spacing w:after="360"/>
        <w:ind w:firstLine="4320"/>
        <w:jc w:val="both"/>
        <w:rPr>
          <w:rFonts w:eastAsia="Times New Roman" w:cs="Times New Roman"/>
          <w:szCs w:val="24"/>
        </w:rPr>
      </w:pPr>
      <w:r>
        <w:rPr>
          <w:rFonts w:eastAsia="Times New Roman" w:cs="Times New Roman"/>
          <w:szCs w:val="24"/>
        </w:rPr>
        <w:t>HISER JOY, PLC</w:t>
      </w:r>
    </w:p>
    <w:p w14:paraId="39A4B563" w14:textId="77777777" w:rsidR="00AF0E9D" w:rsidRPr="00700D99" w:rsidRDefault="00AF0E9D" w:rsidP="00AF0E9D">
      <w:pPr>
        <w:ind w:left="4320"/>
        <w:jc w:val="both"/>
        <w:rPr>
          <w:rFonts w:eastAsia="Times New Roman" w:cs="Times New Roman"/>
          <w:szCs w:val="24"/>
          <w:u w:val="single"/>
        </w:rPr>
      </w:pPr>
      <w:r w:rsidRPr="00700D99">
        <w:rPr>
          <w:rFonts w:eastAsia="Times New Roman" w:cs="Times New Roman"/>
          <w:szCs w:val="24"/>
        </w:rPr>
        <w:t xml:space="preserve">By:  </w:t>
      </w:r>
      <w:r w:rsidRPr="00700D99">
        <w:rPr>
          <w:rFonts w:eastAsia="Times New Roman" w:cs="Times New Roman"/>
          <w:szCs w:val="24"/>
          <w:u w:val="single"/>
        </w:rPr>
        <w:tab/>
      </w:r>
      <w:r>
        <w:rPr>
          <w:rFonts w:eastAsia="Times New Roman" w:cs="Times New Roman"/>
          <w:szCs w:val="24"/>
          <w:u w:val="single"/>
        </w:rPr>
        <w:t>/s/ Eric L. Hiser</w:t>
      </w:r>
      <w:r w:rsidRPr="00700D99">
        <w:rPr>
          <w:rFonts w:eastAsia="Times New Roman" w:cs="Times New Roman"/>
          <w:szCs w:val="24"/>
          <w:u w:val="single"/>
        </w:rPr>
        <w:tab/>
      </w:r>
      <w:r w:rsidRPr="00700D99">
        <w:rPr>
          <w:rFonts w:eastAsia="Times New Roman" w:cs="Times New Roman"/>
          <w:szCs w:val="24"/>
          <w:u w:val="single"/>
        </w:rPr>
        <w:tab/>
      </w:r>
      <w:r w:rsidRPr="00700D99">
        <w:rPr>
          <w:rFonts w:eastAsia="Times New Roman" w:cs="Times New Roman"/>
          <w:szCs w:val="24"/>
          <w:u w:val="single"/>
        </w:rPr>
        <w:tab/>
      </w:r>
    </w:p>
    <w:p w14:paraId="7ECF7106" w14:textId="77777777" w:rsidR="00AF0E9D" w:rsidRDefault="00AF0E9D" w:rsidP="00AF0E9D">
      <w:pPr>
        <w:spacing w:after="0" w:line="240" w:lineRule="auto"/>
        <w:jc w:val="both"/>
        <w:rPr>
          <w:rFonts w:eastAsia="Times New Roman" w:cs="Times New Roman"/>
          <w:szCs w:val="24"/>
        </w:rPr>
      </w:pP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Pr>
          <w:rFonts w:eastAsia="Times New Roman" w:cs="Times New Roman"/>
          <w:szCs w:val="24"/>
        </w:rPr>
        <w:t>Eric L. Hiser</w:t>
      </w:r>
    </w:p>
    <w:p w14:paraId="7730001E" w14:textId="77777777" w:rsidR="00AF0E9D" w:rsidRPr="00700D99" w:rsidRDefault="00AF0E9D" w:rsidP="00AF0E9D">
      <w:pPr>
        <w:spacing w:after="0" w:line="240" w:lineRule="auto"/>
        <w:ind w:left="5040"/>
        <w:jc w:val="both"/>
        <w:rPr>
          <w:rFonts w:eastAsia="Times New Roman" w:cs="Times New Roman"/>
          <w:szCs w:val="24"/>
        </w:rPr>
      </w:pPr>
      <w:r>
        <w:rPr>
          <w:rFonts w:eastAsia="Times New Roman" w:cs="Times New Roman"/>
          <w:szCs w:val="24"/>
        </w:rPr>
        <w:t>Brandon Curtis</w:t>
      </w:r>
    </w:p>
    <w:p w14:paraId="0781725E" w14:textId="77777777" w:rsidR="00AF0E9D" w:rsidRPr="00700D99" w:rsidRDefault="00AF0E9D" w:rsidP="00AF0E9D">
      <w:pPr>
        <w:spacing w:after="0" w:line="240" w:lineRule="auto"/>
        <w:ind w:left="4320" w:firstLine="720"/>
        <w:jc w:val="both"/>
        <w:rPr>
          <w:rFonts w:eastAsia="Times New Roman" w:cs="Times New Roman"/>
          <w:szCs w:val="24"/>
        </w:rPr>
      </w:pPr>
      <w:r>
        <w:rPr>
          <w:rFonts w:eastAsia="Times New Roman" w:cs="Times New Roman"/>
          <w:szCs w:val="24"/>
        </w:rPr>
        <w:t>5080 N. 40</w:t>
      </w:r>
      <w:r w:rsidRPr="005F4548">
        <w:rPr>
          <w:rFonts w:eastAsia="Times New Roman" w:cs="Times New Roman"/>
          <w:szCs w:val="24"/>
          <w:vertAlign w:val="superscript"/>
        </w:rPr>
        <w:t>th</w:t>
      </w:r>
      <w:r>
        <w:rPr>
          <w:rFonts w:eastAsia="Times New Roman" w:cs="Times New Roman"/>
          <w:szCs w:val="24"/>
        </w:rPr>
        <w:t xml:space="preserve"> St, Suite 245</w:t>
      </w:r>
    </w:p>
    <w:p w14:paraId="0C0D302E" w14:textId="77777777" w:rsidR="00AF0E9D" w:rsidRPr="00700D99" w:rsidRDefault="00AF0E9D" w:rsidP="00AF0E9D">
      <w:pPr>
        <w:spacing w:after="0" w:line="240" w:lineRule="auto"/>
        <w:ind w:left="4320" w:firstLine="720"/>
        <w:jc w:val="both"/>
        <w:rPr>
          <w:rFonts w:eastAsia="Times New Roman" w:cs="Times New Roman"/>
          <w:szCs w:val="24"/>
        </w:rPr>
      </w:pPr>
      <w:r>
        <w:rPr>
          <w:rFonts w:eastAsia="Times New Roman" w:cs="Times New Roman"/>
          <w:szCs w:val="24"/>
        </w:rPr>
        <w:t>Phoenix, AZ 85024</w:t>
      </w:r>
    </w:p>
    <w:p w14:paraId="70FE18BE" w14:textId="77777777" w:rsidR="00AF0E9D" w:rsidRDefault="00AF0E9D" w:rsidP="00AF0E9D">
      <w:pPr>
        <w:spacing w:after="0" w:line="240" w:lineRule="auto"/>
        <w:ind w:left="4320" w:firstLine="720"/>
        <w:jc w:val="both"/>
        <w:rPr>
          <w:rFonts w:eastAsia="Times New Roman" w:cs="Times New Roman"/>
          <w:szCs w:val="24"/>
        </w:rPr>
      </w:pPr>
      <w:r w:rsidRPr="00700D99">
        <w:rPr>
          <w:rFonts w:eastAsia="Times New Roman" w:cs="Times New Roman"/>
          <w:szCs w:val="24"/>
        </w:rPr>
        <w:t>(</w:t>
      </w:r>
      <w:r>
        <w:rPr>
          <w:rFonts w:eastAsia="Times New Roman" w:cs="Times New Roman"/>
          <w:szCs w:val="24"/>
        </w:rPr>
        <w:t>480</w:t>
      </w:r>
      <w:r w:rsidRPr="00700D99">
        <w:rPr>
          <w:rFonts w:eastAsia="Times New Roman" w:cs="Times New Roman"/>
          <w:szCs w:val="24"/>
        </w:rPr>
        <w:t xml:space="preserve">) </w:t>
      </w:r>
      <w:r>
        <w:rPr>
          <w:rFonts w:eastAsia="Times New Roman" w:cs="Times New Roman"/>
          <w:szCs w:val="24"/>
        </w:rPr>
        <w:t>505</w:t>
      </w:r>
      <w:r w:rsidRPr="00700D99">
        <w:rPr>
          <w:rFonts w:eastAsia="Times New Roman" w:cs="Times New Roman"/>
          <w:szCs w:val="24"/>
        </w:rPr>
        <w:t>-</w:t>
      </w:r>
      <w:r>
        <w:rPr>
          <w:rFonts w:eastAsia="Times New Roman" w:cs="Times New Roman"/>
          <w:szCs w:val="24"/>
        </w:rPr>
        <w:t>3900</w:t>
      </w:r>
    </w:p>
    <w:p w14:paraId="5F082E87" w14:textId="77777777" w:rsidR="00AF0E9D" w:rsidRDefault="00AF0E9D" w:rsidP="00AF0E9D">
      <w:pPr>
        <w:spacing w:after="0" w:line="240" w:lineRule="auto"/>
        <w:ind w:left="4320" w:firstLine="720"/>
        <w:jc w:val="both"/>
        <w:rPr>
          <w:rFonts w:eastAsia="Times New Roman" w:cs="Times New Roman"/>
          <w:szCs w:val="24"/>
        </w:rPr>
      </w:pPr>
      <w:r w:rsidRPr="005F4548">
        <w:rPr>
          <w:rFonts w:eastAsia="Times New Roman" w:cs="Times New Roman"/>
          <w:szCs w:val="24"/>
        </w:rPr>
        <w:t>ehiser@</w:t>
      </w:r>
      <w:r>
        <w:rPr>
          <w:rFonts w:eastAsia="Times New Roman" w:cs="Times New Roman"/>
          <w:szCs w:val="24"/>
        </w:rPr>
        <w:t>hiserjoy.com</w:t>
      </w:r>
    </w:p>
    <w:p w14:paraId="57EDD479" w14:textId="77777777" w:rsidR="00AF0E9D" w:rsidRDefault="00AF0E9D" w:rsidP="00AF0E9D">
      <w:pPr>
        <w:spacing w:after="0" w:line="240" w:lineRule="auto"/>
        <w:ind w:left="4320" w:firstLine="720"/>
        <w:jc w:val="both"/>
        <w:rPr>
          <w:rFonts w:eastAsia="Times New Roman" w:cs="Times New Roman"/>
          <w:szCs w:val="24"/>
        </w:rPr>
      </w:pPr>
      <w:r w:rsidRPr="005F4548">
        <w:rPr>
          <w:rFonts w:eastAsia="Times New Roman" w:cs="Times New Roman"/>
          <w:szCs w:val="24"/>
        </w:rPr>
        <w:t>bc</w:t>
      </w:r>
      <w:r>
        <w:rPr>
          <w:rFonts w:eastAsia="Times New Roman" w:cs="Times New Roman"/>
          <w:szCs w:val="24"/>
        </w:rPr>
        <w:t>urtis@hiserjoy.com</w:t>
      </w:r>
    </w:p>
    <w:p w14:paraId="59FD0138" w14:textId="77777777" w:rsidR="00AF0E9D" w:rsidRDefault="00AF0E9D" w:rsidP="00AF0E9D">
      <w:pPr>
        <w:ind w:left="4320" w:firstLine="720"/>
        <w:jc w:val="both"/>
        <w:rPr>
          <w:rFonts w:eastAsia="Times New Roman" w:cs="Times New Roman"/>
          <w:szCs w:val="24"/>
        </w:rPr>
      </w:pPr>
    </w:p>
    <w:p w14:paraId="5A24A453" w14:textId="77777777" w:rsidR="00AF0E9D" w:rsidRPr="00700D99" w:rsidRDefault="00AF0E9D" w:rsidP="00AF0E9D">
      <w:pPr>
        <w:spacing w:after="360"/>
        <w:ind w:left="3600" w:firstLine="720"/>
        <w:jc w:val="both"/>
        <w:rPr>
          <w:rFonts w:eastAsia="Times New Roman" w:cs="Times New Roman"/>
          <w:szCs w:val="24"/>
        </w:rPr>
      </w:pPr>
      <w:r>
        <w:rPr>
          <w:rFonts w:eastAsia="Times New Roman" w:cs="Times New Roman"/>
          <w:szCs w:val="24"/>
        </w:rPr>
        <w:t>GALLAGHER &amp; KENNEDY, P.A.</w:t>
      </w:r>
    </w:p>
    <w:p w14:paraId="4AC0DBF8" w14:textId="77777777" w:rsidR="00AF0E9D" w:rsidRPr="00700D99" w:rsidRDefault="00AF0E9D" w:rsidP="00AF0E9D">
      <w:pPr>
        <w:ind w:left="4320"/>
        <w:jc w:val="both"/>
        <w:rPr>
          <w:rFonts w:eastAsia="Times New Roman" w:cs="Times New Roman"/>
          <w:szCs w:val="24"/>
          <w:u w:val="single"/>
        </w:rPr>
      </w:pPr>
      <w:bookmarkStart w:id="21" w:name="_Hlk78361446"/>
      <w:r w:rsidRPr="00700D99">
        <w:rPr>
          <w:rFonts w:eastAsia="Times New Roman" w:cs="Times New Roman"/>
          <w:szCs w:val="24"/>
        </w:rPr>
        <w:t xml:space="preserve">By:  </w:t>
      </w:r>
      <w:r w:rsidRPr="00700D99">
        <w:rPr>
          <w:rFonts w:eastAsia="Times New Roman" w:cs="Times New Roman"/>
          <w:szCs w:val="24"/>
          <w:u w:val="single"/>
        </w:rPr>
        <w:tab/>
      </w:r>
      <w:r>
        <w:rPr>
          <w:rFonts w:eastAsia="Times New Roman" w:cs="Times New Roman"/>
          <w:szCs w:val="24"/>
          <w:u w:val="single"/>
        </w:rPr>
        <w:t xml:space="preserve">/s/ </w:t>
      </w:r>
      <w:r w:rsidRPr="002D2C93">
        <w:rPr>
          <w:rFonts w:eastAsia="Times New Roman" w:cs="Times New Roman"/>
          <w:szCs w:val="24"/>
          <w:u w:val="single"/>
        </w:rPr>
        <w:t>Dalva L. Moellenberg</w:t>
      </w:r>
      <w:r w:rsidRPr="00700D99">
        <w:rPr>
          <w:rFonts w:eastAsia="Times New Roman" w:cs="Times New Roman"/>
          <w:szCs w:val="24"/>
          <w:u w:val="single"/>
        </w:rPr>
        <w:tab/>
      </w:r>
      <w:r w:rsidRPr="00700D99">
        <w:rPr>
          <w:rFonts w:eastAsia="Times New Roman" w:cs="Times New Roman"/>
          <w:szCs w:val="24"/>
          <w:u w:val="single"/>
        </w:rPr>
        <w:tab/>
      </w:r>
    </w:p>
    <w:p w14:paraId="63C38E6F" w14:textId="77777777" w:rsidR="00AF0E9D" w:rsidRDefault="00AF0E9D" w:rsidP="00AF0E9D">
      <w:pPr>
        <w:spacing w:after="0" w:line="240" w:lineRule="auto"/>
        <w:jc w:val="both"/>
        <w:rPr>
          <w:rFonts w:eastAsia="Times New Roman" w:cs="Times New Roman"/>
          <w:szCs w:val="24"/>
        </w:rPr>
      </w:pP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2D2C93">
        <w:rPr>
          <w:rFonts w:eastAsia="Times New Roman" w:cs="Times New Roman"/>
          <w:szCs w:val="24"/>
        </w:rPr>
        <w:t>Dalva L. Moellenberg</w:t>
      </w:r>
    </w:p>
    <w:bookmarkEnd w:id="21"/>
    <w:p w14:paraId="603C3441" w14:textId="77777777" w:rsidR="00AF0E9D" w:rsidRPr="00E276B8" w:rsidRDefault="00AF0E9D" w:rsidP="00AF0E9D">
      <w:pPr>
        <w:spacing w:after="0" w:line="240" w:lineRule="auto"/>
        <w:ind w:left="4320" w:firstLine="720"/>
        <w:jc w:val="both"/>
        <w:rPr>
          <w:rFonts w:eastAsia="Times New Roman" w:cs="Times New Roman"/>
          <w:szCs w:val="24"/>
        </w:rPr>
      </w:pPr>
      <w:r w:rsidRPr="00E276B8">
        <w:rPr>
          <w:rFonts w:eastAsia="Times New Roman" w:cs="Times New Roman"/>
          <w:szCs w:val="24"/>
        </w:rPr>
        <w:t>1239 Paseo de Peralta</w:t>
      </w:r>
    </w:p>
    <w:p w14:paraId="00AD8C17" w14:textId="77777777" w:rsidR="00AF0E9D" w:rsidRDefault="00AF0E9D" w:rsidP="00AF0E9D">
      <w:pPr>
        <w:spacing w:after="0" w:line="240" w:lineRule="auto"/>
        <w:ind w:left="4320" w:firstLine="720"/>
        <w:jc w:val="both"/>
        <w:rPr>
          <w:rFonts w:eastAsia="Times New Roman" w:cs="Times New Roman"/>
          <w:szCs w:val="24"/>
        </w:rPr>
      </w:pPr>
      <w:r w:rsidRPr="00E276B8">
        <w:rPr>
          <w:rFonts w:eastAsia="Times New Roman" w:cs="Times New Roman"/>
          <w:szCs w:val="24"/>
        </w:rPr>
        <w:t xml:space="preserve">Santa Fe, New Mexico 87501-2758 </w:t>
      </w:r>
    </w:p>
    <w:p w14:paraId="1CE4061B" w14:textId="77777777" w:rsidR="00AF0E9D" w:rsidRDefault="00AF0E9D" w:rsidP="00AF0E9D">
      <w:pPr>
        <w:spacing w:after="0" w:line="240" w:lineRule="auto"/>
        <w:ind w:left="4320" w:firstLine="720"/>
        <w:jc w:val="both"/>
        <w:rPr>
          <w:rFonts w:eastAsia="Times New Roman" w:cs="Times New Roman"/>
          <w:szCs w:val="24"/>
        </w:rPr>
      </w:pPr>
      <w:r w:rsidRPr="00291F31">
        <w:rPr>
          <w:rFonts w:eastAsia="Times New Roman" w:cs="Times New Roman"/>
          <w:szCs w:val="24"/>
        </w:rPr>
        <w:t>505-982-9523</w:t>
      </w:r>
    </w:p>
    <w:p w14:paraId="72CAF2AD" w14:textId="77777777" w:rsidR="00AF0E9D" w:rsidRDefault="00AF0E9D" w:rsidP="00AF0E9D">
      <w:pPr>
        <w:spacing w:after="0" w:line="240" w:lineRule="auto"/>
        <w:ind w:left="4320" w:firstLine="720"/>
        <w:jc w:val="both"/>
        <w:rPr>
          <w:rFonts w:eastAsia="Times New Roman" w:cs="Times New Roman"/>
          <w:szCs w:val="24"/>
        </w:rPr>
      </w:pPr>
      <w:r w:rsidRPr="00BC1090">
        <w:rPr>
          <w:rFonts w:eastAsia="Times New Roman" w:cs="Times New Roman"/>
          <w:szCs w:val="24"/>
        </w:rPr>
        <w:t>DLM@gknet.com</w:t>
      </w:r>
    </w:p>
    <w:p w14:paraId="4C6F2876" w14:textId="77777777" w:rsidR="00722BA3" w:rsidRDefault="00722BA3">
      <w:pPr>
        <w:rPr>
          <w:rFonts w:cs="Times New Roman"/>
          <w:b/>
          <w:szCs w:val="24"/>
          <w:u w:val="single"/>
        </w:rPr>
      </w:pPr>
      <w:r>
        <w:rPr>
          <w:rFonts w:cs="Times New Roman"/>
          <w:b/>
          <w:szCs w:val="24"/>
          <w:u w:val="single"/>
        </w:rPr>
        <w:br w:type="page"/>
      </w:r>
    </w:p>
    <w:p w14:paraId="5C147968" w14:textId="10BD6242" w:rsidR="007E06E4" w:rsidRPr="00700D99" w:rsidRDefault="007E06E4" w:rsidP="007E06E4">
      <w:pPr>
        <w:jc w:val="center"/>
        <w:rPr>
          <w:rFonts w:cs="Times New Roman"/>
          <w:b/>
          <w:szCs w:val="24"/>
        </w:rPr>
      </w:pPr>
      <w:r w:rsidRPr="00700D99">
        <w:rPr>
          <w:rFonts w:cs="Times New Roman"/>
          <w:b/>
          <w:szCs w:val="24"/>
          <w:u w:val="single"/>
        </w:rPr>
        <w:lastRenderedPageBreak/>
        <w:t>CERTIFICATE OF SERVICE</w:t>
      </w:r>
    </w:p>
    <w:p w14:paraId="18828332" w14:textId="77777777" w:rsidR="007E06E4" w:rsidRPr="00700D99" w:rsidRDefault="007E06E4" w:rsidP="007E06E4">
      <w:pPr>
        <w:jc w:val="both"/>
        <w:rPr>
          <w:rFonts w:cs="Times New Roman"/>
          <w:szCs w:val="24"/>
        </w:rPr>
      </w:pPr>
    </w:p>
    <w:p w14:paraId="61EFC4AB" w14:textId="55801C1E" w:rsidR="007E06E4" w:rsidRPr="00700D99" w:rsidRDefault="007E06E4" w:rsidP="007E06E4">
      <w:pPr>
        <w:jc w:val="both"/>
        <w:rPr>
          <w:rFonts w:cs="Times New Roman"/>
          <w:szCs w:val="24"/>
        </w:rPr>
      </w:pPr>
      <w:r w:rsidRPr="00700D99">
        <w:rPr>
          <w:rFonts w:cs="Times New Roman"/>
          <w:szCs w:val="24"/>
        </w:rPr>
        <w:tab/>
      </w:r>
      <w:r>
        <w:rPr>
          <w:rFonts w:eastAsia="Times New Roman" w:cs="Times New Roman"/>
          <w:szCs w:val="24"/>
        </w:rPr>
        <w:t xml:space="preserve">I hereby certify that on </w:t>
      </w:r>
      <w:r w:rsidR="00722BA3">
        <w:rPr>
          <w:rFonts w:eastAsia="Times New Roman" w:cs="Times New Roman"/>
          <w:szCs w:val="24"/>
        </w:rPr>
        <w:t>January 20, 2022</w:t>
      </w:r>
      <w:r>
        <w:rPr>
          <w:rFonts w:eastAsia="Times New Roman" w:cs="Times New Roman"/>
          <w:szCs w:val="24"/>
        </w:rPr>
        <w:fldChar w:fldCharType="begin"/>
      </w:r>
      <w:r>
        <w:rPr>
          <w:rFonts w:eastAsia="Times New Roman" w:cs="Times New Roman"/>
          <w:szCs w:val="24"/>
        </w:rPr>
        <w:instrText xml:space="preserve"> DATE \@ "MMMM d, yyyy" </w:instrText>
      </w:r>
      <w:r w:rsidR="004160D5">
        <w:rPr>
          <w:rFonts w:eastAsia="Times New Roman" w:cs="Times New Roman"/>
          <w:szCs w:val="24"/>
        </w:rPr>
        <w:fldChar w:fldCharType="separate"/>
      </w:r>
      <w:r w:rsidR="00AD0552">
        <w:rPr>
          <w:rFonts w:eastAsia="Times New Roman" w:cs="Times New Roman"/>
          <w:noProof/>
          <w:szCs w:val="24"/>
        </w:rPr>
        <w:t>January 29, 2022</w:t>
      </w:r>
      <w:r>
        <w:rPr>
          <w:rFonts w:eastAsia="Times New Roman" w:cs="Times New Roman"/>
          <w:szCs w:val="24"/>
        </w:rPr>
        <w:fldChar w:fldCharType="end"/>
      </w:r>
      <w:r w:rsidRPr="00700D99">
        <w:rPr>
          <w:rFonts w:eastAsia="Times New Roman" w:cs="Times New Roman"/>
          <w:szCs w:val="24"/>
        </w:rPr>
        <w:t xml:space="preserve">, a true and correct copy of the foregoing </w:t>
      </w:r>
      <w:r>
        <w:rPr>
          <w:rFonts w:eastAsia="Times New Roman" w:cs="Times New Roman"/>
          <w:b/>
          <w:bCs/>
          <w:i/>
          <w:szCs w:val="24"/>
        </w:rPr>
        <w:t xml:space="preserve">Post-Hearing Brief </w:t>
      </w:r>
      <w:r w:rsidRPr="00700D99">
        <w:rPr>
          <w:rFonts w:eastAsia="Times New Roman" w:cs="Times New Roman"/>
          <w:szCs w:val="24"/>
        </w:rPr>
        <w:t xml:space="preserve">was served via </w:t>
      </w:r>
      <w:r>
        <w:rPr>
          <w:rFonts w:eastAsia="Times New Roman" w:cs="Times New Roman"/>
          <w:szCs w:val="24"/>
        </w:rPr>
        <w:t>electronic</w:t>
      </w:r>
      <w:r w:rsidRPr="00700D99">
        <w:rPr>
          <w:rFonts w:eastAsia="Times New Roman" w:cs="Times New Roman"/>
          <w:szCs w:val="24"/>
        </w:rPr>
        <w:t xml:space="preserve"> mail to the following:</w:t>
      </w:r>
    </w:p>
    <w:p w14:paraId="4658B41B" w14:textId="77777777" w:rsidR="007E06E4" w:rsidRPr="00700D99" w:rsidRDefault="007E06E4" w:rsidP="007E06E4">
      <w:pPr>
        <w:jc w:val="both"/>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590"/>
      </w:tblGrid>
      <w:tr w:rsidR="007E06E4" w:rsidRPr="00700D99" w14:paraId="57712345" w14:textId="77777777" w:rsidTr="00A6468A">
        <w:tc>
          <w:tcPr>
            <w:tcW w:w="4770" w:type="dxa"/>
          </w:tcPr>
          <w:p w14:paraId="54023D6F" w14:textId="77777777" w:rsidR="007E06E4" w:rsidRDefault="007E06E4" w:rsidP="00A6468A">
            <w:pPr>
              <w:jc w:val="both"/>
              <w:rPr>
                <w:rFonts w:cs="Times New Roman"/>
                <w:szCs w:val="24"/>
              </w:rPr>
            </w:pPr>
            <w:r>
              <w:rPr>
                <w:rFonts w:cs="Times New Roman"/>
                <w:szCs w:val="24"/>
              </w:rPr>
              <w:t>Pamela Jones</w:t>
            </w:r>
          </w:p>
          <w:p w14:paraId="74FBAC0E" w14:textId="77777777" w:rsidR="007E06E4" w:rsidRDefault="007E06E4" w:rsidP="00A6468A">
            <w:pPr>
              <w:jc w:val="both"/>
              <w:rPr>
                <w:rFonts w:cs="Times New Roman"/>
                <w:szCs w:val="24"/>
              </w:rPr>
            </w:pPr>
            <w:r>
              <w:rPr>
                <w:rFonts w:cs="Times New Roman"/>
                <w:szCs w:val="24"/>
              </w:rPr>
              <w:t>Hearing Administrator</w:t>
            </w:r>
          </w:p>
          <w:p w14:paraId="76048207" w14:textId="77777777" w:rsidR="007E06E4" w:rsidRDefault="007E06E4" w:rsidP="00A6468A">
            <w:pPr>
              <w:jc w:val="both"/>
              <w:rPr>
                <w:rFonts w:cs="Times New Roman"/>
                <w:szCs w:val="24"/>
              </w:rPr>
            </w:pPr>
            <w:r>
              <w:rPr>
                <w:rFonts w:cs="Times New Roman"/>
                <w:szCs w:val="24"/>
              </w:rPr>
              <w:t>Environmental Improvement Board</w:t>
            </w:r>
          </w:p>
          <w:p w14:paraId="25FD4AF1" w14:textId="77777777" w:rsidR="007E06E4" w:rsidRDefault="007E06E4" w:rsidP="00A6468A">
            <w:pPr>
              <w:jc w:val="both"/>
              <w:rPr>
                <w:rFonts w:cs="Times New Roman"/>
                <w:szCs w:val="24"/>
              </w:rPr>
            </w:pPr>
            <w:r>
              <w:rPr>
                <w:rFonts w:cs="Times New Roman"/>
                <w:szCs w:val="24"/>
              </w:rPr>
              <w:t>1190 Saint Francis Drive, Suite S2102</w:t>
            </w:r>
          </w:p>
          <w:p w14:paraId="0130D7E5" w14:textId="77777777" w:rsidR="007E06E4" w:rsidRDefault="007E06E4" w:rsidP="00A6468A">
            <w:pPr>
              <w:jc w:val="both"/>
              <w:rPr>
                <w:rFonts w:cs="Times New Roman"/>
                <w:szCs w:val="24"/>
              </w:rPr>
            </w:pPr>
            <w:r>
              <w:rPr>
                <w:rFonts w:cs="Times New Roman"/>
                <w:szCs w:val="24"/>
              </w:rPr>
              <w:t>Santa Fe, New Mexico 87505</w:t>
            </w:r>
          </w:p>
          <w:p w14:paraId="49D72596" w14:textId="77777777" w:rsidR="007E06E4" w:rsidRDefault="007E06E4" w:rsidP="00A6468A">
            <w:pPr>
              <w:jc w:val="both"/>
              <w:rPr>
                <w:rFonts w:cs="Times New Roman"/>
                <w:szCs w:val="24"/>
              </w:rPr>
            </w:pPr>
            <w:r w:rsidRPr="002A1C63">
              <w:rPr>
                <w:rFonts w:cs="Times New Roman"/>
                <w:szCs w:val="24"/>
              </w:rPr>
              <w:t>Pamela.jones@state.nm.us</w:t>
            </w:r>
          </w:p>
          <w:p w14:paraId="5DC9CA93" w14:textId="77777777" w:rsidR="007E06E4" w:rsidRDefault="007E06E4" w:rsidP="00A6468A">
            <w:pPr>
              <w:jc w:val="both"/>
              <w:rPr>
                <w:rFonts w:cs="Times New Roman"/>
                <w:i/>
                <w:iCs/>
                <w:szCs w:val="24"/>
              </w:rPr>
            </w:pPr>
            <w:r>
              <w:rPr>
                <w:rFonts w:cs="Times New Roman"/>
                <w:i/>
                <w:iCs/>
                <w:szCs w:val="24"/>
              </w:rPr>
              <w:t xml:space="preserve">Administrator for the </w:t>
            </w:r>
          </w:p>
          <w:p w14:paraId="216D61F7" w14:textId="77777777" w:rsidR="007E06E4" w:rsidRPr="00961894" w:rsidRDefault="007E06E4" w:rsidP="00A6468A">
            <w:pPr>
              <w:jc w:val="both"/>
              <w:rPr>
                <w:rFonts w:cs="Times New Roman"/>
                <w:i/>
                <w:iCs/>
                <w:szCs w:val="24"/>
              </w:rPr>
            </w:pPr>
            <w:r>
              <w:rPr>
                <w:rFonts w:cs="Times New Roman"/>
                <w:i/>
                <w:iCs/>
                <w:szCs w:val="24"/>
              </w:rPr>
              <w:t>Environmental Improvement Board</w:t>
            </w:r>
          </w:p>
          <w:p w14:paraId="7C53FE2B" w14:textId="77777777" w:rsidR="007E06E4" w:rsidRDefault="007E06E4" w:rsidP="00A6468A">
            <w:pPr>
              <w:jc w:val="both"/>
              <w:rPr>
                <w:rFonts w:cs="Times New Roman"/>
                <w:szCs w:val="24"/>
              </w:rPr>
            </w:pPr>
          </w:p>
          <w:p w14:paraId="3D4AB5BA" w14:textId="77777777" w:rsidR="007E06E4" w:rsidRDefault="007E06E4" w:rsidP="00A6468A">
            <w:pPr>
              <w:jc w:val="both"/>
              <w:rPr>
                <w:rFonts w:cs="Times New Roman"/>
                <w:szCs w:val="24"/>
              </w:rPr>
            </w:pPr>
            <w:r>
              <w:rPr>
                <w:rFonts w:cs="Times New Roman"/>
                <w:szCs w:val="24"/>
              </w:rPr>
              <w:t>Felicia Orth</w:t>
            </w:r>
          </w:p>
          <w:p w14:paraId="762A6F04" w14:textId="77777777" w:rsidR="007E06E4" w:rsidRDefault="007E06E4" w:rsidP="00A6468A">
            <w:pPr>
              <w:jc w:val="both"/>
              <w:rPr>
                <w:rFonts w:cs="Times New Roman"/>
                <w:szCs w:val="24"/>
              </w:rPr>
            </w:pPr>
            <w:r>
              <w:rPr>
                <w:rFonts w:cs="Times New Roman"/>
                <w:szCs w:val="24"/>
              </w:rPr>
              <w:t>felicia.l.orth@gmail.com</w:t>
            </w:r>
          </w:p>
          <w:p w14:paraId="54F1F379" w14:textId="77777777" w:rsidR="007E06E4" w:rsidRPr="00641EDE" w:rsidRDefault="007E06E4" w:rsidP="00A6468A">
            <w:pPr>
              <w:jc w:val="both"/>
              <w:rPr>
                <w:rFonts w:cs="Times New Roman"/>
                <w:i/>
                <w:iCs/>
                <w:szCs w:val="24"/>
              </w:rPr>
            </w:pPr>
            <w:r w:rsidRPr="00641EDE">
              <w:rPr>
                <w:rFonts w:cs="Times New Roman"/>
                <w:i/>
                <w:iCs/>
                <w:szCs w:val="24"/>
              </w:rPr>
              <w:t xml:space="preserve">Environmental Improvement Board Hearing Officer </w:t>
            </w:r>
          </w:p>
        </w:tc>
        <w:tc>
          <w:tcPr>
            <w:tcW w:w="4590" w:type="dxa"/>
          </w:tcPr>
          <w:p w14:paraId="61164F15" w14:textId="77777777" w:rsidR="007E06E4" w:rsidRDefault="007E06E4" w:rsidP="00A6468A">
            <w:pPr>
              <w:jc w:val="left"/>
              <w:rPr>
                <w:rFonts w:cs="Times New Roman"/>
                <w:szCs w:val="24"/>
              </w:rPr>
            </w:pPr>
            <w:r>
              <w:rPr>
                <w:rFonts w:cs="Times New Roman"/>
                <w:szCs w:val="24"/>
              </w:rPr>
              <w:t xml:space="preserve">Karla </w:t>
            </w:r>
            <w:proofErr w:type="spellStart"/>
            <w:r>
              <w:rPr>
                <w:rFonts w:cs="Times New Roman"/>
                <w:szCs w:val="24"/>
              </w:rPr>
              <w:t>Soloria</w:t>
            </w:r>
            <w:proofErr w:type="spellEnd"/>
          </w:p>
          <w:p w14:paraId="2FE4C893" w14:textId="77777777" w:rsidR="007E06E4" w:rsidRDefault="007E06E4" w:rsidP="00A6468A">
            <w:pPr>
              <w:jc w:val="left"/>
              <w:rPr>
                <w:rFonts w:cs="Times New Roman"/>
                <w:szCs w:val="24"/>
              </w:rPr>
            </w:pPr>
            <w:r>
              <w:rPr>
                <w:rFonts w:cs="Times New Roman"/>
                <w:szCs w:val="24"/>
              </w:rPr>
              <w:t xml:space="preserve">New Mexico Office of the Attorney General </w:t>
            </w:r>
          </w:p>
          <w:p w14:paraId="76EF711D" w14:textId="77777777" w:rsidR="007E06E4" w:rsidRDefault="007E06E4" w:rsidP="00A6468A">
            <w:pPr>
              <w:jc w:val="left"/>
              <w:rPr>
                <w:rFonts w:cs="Times New Roman"/>
                <w:szCs w:val="24"/>
              </w:rPr>
            </w:pPr>
            <w:r>
              <w:rPr>
                <w:rFonts w:cs="Times New Roman"/>
                <w:szCs w:val="24"/>
              </w:rPr>
              <w:t>P.O. Box 1508</w:t>
            </w:r>
          </w:p>
          <w:p w14:paraId="5AD34AD6" w14:textId="77777777" w:rsidR="007E06E4" w:rsidRDefault="007E06E4" w:rsidP="00A6468A">
            <w:pPr>
              <w:jc w:val="left"/>
              <w:rPr>
                <w:rFonts w:cs="Times New Roman"/>
                <w:szCs w:val="24"/>
              </w:rPr>
            </w:pPr>
            <w:r>
              <w:rPr>
                <w:rFonts w:cs="Times New Roman"/>
                <w:szCs w:val="24"/>
              </w:rPr>
              <w:t>Santa Fe, New Mexico 87504</w:t>
            </w:r>
          </w:p>
          <w:p w14:paraId="76EAE3C2" w14:textId="77777777" w:rsidR="007E06E4" w:rsidRDefault="007E06E4" w:rsidP="00A6468A">
            <w:pPr>
              <w:jc w:val="left"/>
              <w:rPr>
                <w:rFonts w:cs="Times New Roman"/>
                <w:szCs w:val="24"/>
              </w:rPr>
            </w:pPr>
            <w:r w:rsidRPr="002A1C63">
              <w:rPr>
                <w:rFonts w:cs="Times New Roman"/>
                <w:szCs w:val="24"/>
              </w:rPr>
              <w:t>ksoloria@nmag.gov</w:t>
            </w:r>
          </w:p>
          <w:p w14:paraId="2C307886" w14:textId="77777777" w:rsidR="007E06E4" w:rsidRPr="00961894" w:rsidRDefault="007E06E4" w:rsidP="00A6468A">
            <w:pPr>
              <w:jc w:val="left"/>
              <w:rPr>
                <w:rFonts w:cs="Times New Roman"/>
                <w:i/>
                <w:iCs/>
                <w:szCs w:val="24"/>
              </w:rPr>
            </w:pPr>
            <w:r>
              <w:rPr>
                <w:rFonts w:cs="Times New Roman"/>
                <w:i/>
                <w:iCs/>
                <w:szCs w:val="24"/>
              </w:rPr>
              <w:t>Counsel for the Environmental Improvement Board</w:t>
            </w:r>
          </w:p>
          <w:p w14:paraId="5A8C67A6" w14:textId="77777777" w:rsidR="007E06E4" w:rsidRPr="00700D99" w:rsidRDefault="007E06E4" w:rsidP="00A6468A">
            <w:pPr>
              <w:jc w:val="left"/>
              <w:rPr>
                <w:rFonts w:cs="Times New Roman"/>
                <w:szCs w:val="24"/>
              </w:rPr>
            </w:pPr>
          </w:p>
        </w:tc>
      </w:tr>
      <w:tr w:rsidR="007E06E4" w:rsidRPr="00700D99" w14:paraId="30D1B0A9" w14:textId="77777777" w:rsidTr="00A6468A">
        <w:trPr>
          <w:gridAfter w:val="1"/>
          <w:wAfter w:w="4590" w:type="dxa"/>
        </w:trPr>
        <w:tc>
          <w:tcPr>
            <w:tcW w:w="4770" w:type="dxa"/>
          </w:tcPr>
          <w:p w14:paraId="2A62F159" w14:textId="77777777" w:rsidR="007E06E4" w:rsidRPr="00A8162B" w:rsidRDefault="007E06E4" w:rsidP="00A6468A">
            <w:pPr>
              <w:jc w:val="left"/>
              <w:rPr>
                <w:rFonts w:cs="Times New Roman"/>
                <w:i/>
                <w:iCs/>
                <w:szCs w:val="24"/>
              </w:rPr>
            </w:pPr>
          </w:p>
        </w:tc>
      </w:tr>
      <w:tr w:rsidR="007E06E4" w:rsidRPr="00700D99" w14:paraId="4F2BA02A" w14:textId="77777777" w:rsidTr="00A6468A">
        <w:tc>
          <w:tcPr>
            <w:tcW w:w="4770" w:type="dxa"/>
          </w:tcPr>
          <w:p w14:paraId="77730840" w14:textId="77777777" w:rsidR="007E06E4" w:rsidRPr="00A8162B" w:rsidRDefault="007E06E4" w:rsidP="00A6468A">
            <w:pPr>
              <w:jc w:val="left"/>
              <w:rPr>
                <w:rFonts w:cs="Times New Roman"/>
                <w:szCs w:val="24"/>
              </w:rPr>
            </w:pPr>
            <w:r w:rsidRPr="00A8162B">
              <w:rPr>
                <w:rFonts w:cs="Times New Roman"/>
                <w:szCs w:val="24"/>
              </w:rPr>
              <w:t>Lara Katz, Assistant General Counsel</w:t>
            </w:r>
          </w:p>
          <w:p w14:paraId="13107CAF" w14:textId="77777777" w:rsidR="007E06E4" w:rsidRPr="00A8162B" w:rsidRDefault="007E06E4" w:rsidP="00A6468A">
            <w:pPr>
              <w:jc w:val="left"/>
              <w:rPr>
                <w:rFonts w:cs="Times New Roman"/>
                <w:szCs w:val="24"/>
              </w:rPr>
            </w:pPr>
            <w:r w:rsidRPr="00A8162B">
              <w:rPr>
                <w:rFonts w:cs="Times New Roman"/>
                <w:szCs w:val="24"/>
              </w:rPr>
              <w:t>Office of General Counsel</w:t>
            </w:r>
          </w:p>
          <w:p w14:paraId="7A8BFBBE" w14:textId="77777777" w:rsidR="007E06E4" w:rsidRPr="00A8162B" w:rsidRDefault="007E06E4" w:rsidP="00A6468A">
            <w:pPr>
              <w:jc w:val="left"/>
              <w:rPr>
                <w:rFonts w:cs="Times New Roman"/>
                <w:szCs w:val="24"/>
              </w:rPr>
            </w:pPr>
            <w:r w:rsidRPr="00A8162B">
              <w:rPr>
                <w:rFonts w:cs="Times New Roman"/>
                <w:szCs w:val="24"/>
              </w:rPr>
              <w:t>New Mexico Environment Department</w:t>
            </w:r>
          </w:p>
          <w:p w14:paraId="6745B4BD" w14:textId="77777777" w:rsidR="007E06E4" w:rsidRPr="00A8162B" w:rsidRDefault="007E06E4" w:rsidP="00A6468A">
            <w:pPr>
              <w:jc w:val="left"/>
              <w:rPr>
                <w:rFonts w:cs="Times New Roman"/>
                <w:szCs w:val="24"/>
              </w:rPr>
            </w:pPr>
            <w:r w:rsidRPr="00A8162B">
              <w:rPr>
                <w:rFonts w:cs="Times New Roman"/>
                <w:szCs w:val="24"/>
              </w:rPr>
              <w:t>1190 St. Francis Drive</w:t>
            </w:r>
          </w:p>
          <w:p w14:paraId="7833954B" w14:textId="77777777" w:rsidR="007E06E4" w:rsidRPr="00A8162B" w:rsidRDefault="007E06E4" w:rsidP="00A6468A">
            <w:pPr>
              <w:jc w:val="left"/>
              <w:rPr>
                <w:rFonts w:cs="Times New Roman"/>
                <w:szCs w:val="24"/>
              </w:rPr>
            </w:pPr>
            <w:r w:rsidRPr="00A8162B">
              <w:rPr>
                <w:rFonts w:cs="Times New Roman"/>
                <w:szCs w:val="24"/>
              </w:rPr>
              <w:t>Santa Fe, New Mexico 87505</w:t>
            </w:r>
          </w:p>
          <w:p w14:paraId="6DF347E4" w14:textId="77777777" w:rsidR="007E06E4" w:rsidRDefault="007E06E4" w:rsidP="00A6468A">
            <w:pPr>
              <w:jc w:val="left"/>
              <w:rPr>
                <w:rFonts w:cs="Times New Roman"/>
                <w:szCs w:val="24"/>
              </w:rPr>
            </w:pPr>
            <w:r w:rsidRPr="00A8162B">
              <w:rPr>
                <w:rFonts w:cs="Times New Roman"/>
                <w:szCs w:val="24"/>
              </w:rPr>
              <w:t>lara.katz@state.nm.us</w:t>
            </w:r>
          </w:p>
          <w:p w14:paraId="2919FA87" w14:textId="77777777" w:rsidR="007E06E4" w:rsidRDefault="007E06E4" w:rsidP="00A6468A">
            <w:pPr>
              <w:jc w:val="left"/>
              <w:rPr>
                <w:rFonts w:cs="Times New Roman"/>
                <w:szCs w:val="24"/>
              </w:rPr>
            </w:pPr>
          </w:p>
          <w:p w14:paraId="64ACDAE4" w14:textId="77777777" w:rsidR="007E06E4" w:rsidRDefault="007E06E4" w:rsidP="00A6468A">
            <w:pPr>
              <w:jc w:val="left"/>
              <w:rPr>
                <w:rFonts w:cs="Times New Roman"/>
                <w:szCs w:val="24"/>
              </w:rPr>
            </w:pPr>
            <w:r>
              <w:rPr>
                <w:rFonts w:cs="Times New Roman"/>
                <w:szCs w:val="24"/>
              </w:rPr>
              <w:t>Andrew Knight, Assistant General Counsel</w:t>
            </w:r>
          </w:p>
          <w:p w14:paraId="56565277" w14:textId="77777777" w:rsidR="007E06E4" w:rsidRDefault="007E06E4" w:rsidP="00A6468A">
            <w:pPr>
              <w:jc w:val="left"/>
              <w:rPr>
                <w:rFonts w:cs="Times New Roman"/>
                <w:szCs w:val="24"/>
              </w:rPr>
            </w:pPr>
            <w:r>
              <w:rPr>
                <w:rFonts w:cs="Times New Roman"/>
                <w:szCs w:val="24"/>
              </w:rPr>
              <w:t>NMED Office of General Counsel</w:t>
            </w:r>
          </w:p>
          <w:p w14:paraId="48A67FD0" w14:textId="77777777" w:rsidR="007E06E4" w:rsidRDefault="007E06E4" w:rsidP="00A6468A">
            <w:pPr>
              <w:jc w:val="left"/>
              <w:rPr>
                <w:rFonts w:cs="Times New Roman"/>
                <w:szCs w:val="24"/>
              </w:rPr>
            </w:pPr>
            <w:r>
              <w:rPr>
                <w:rFonts w:cs="Times New Roman"/>
                <w:szCs w:val="24"/>
              </w:rPr>
              <w:t>121 Tijeras Ave. NE, Suite 1000</w:t>
            </w:r>
          </w:p>
          <w:p w14:paraId="36822D93" w14:textId="77777777" w:rsidR="007E06E4" w:rsidRDefault="007E06E4" w:rsidP="00A6468A">
            <w:pPr>
              <w:jc w:val="left"/>
              <w:rPr>
                <w:rFonts w:cs="Times New Roman"/>
                <w:szCs w:val="24"/>
              </w:rPr>
            </w:pPr>
            <w:r>
              <w:rPr>
                <w:rFonts w:cs="Times New Roman"/>
                <w:szCs w:val="24"/>
              </w:rPr>
              <w:t>Albuquerque, New Mexico 87102</w:t>
            </w:r>
          </w:p>
          <w:p w14:paraId="3B1B202B" w14:textId="77777777" w:rsidR="007E06E4" w:rsidRPr="00A8162B" w:rsidRDefault="007E06E4" w:rsidP="00A6468A">
            <w:pPr>
              <w:jc w:val="left"/>
              <w:rPr>
                <w:rFonts w:cs="Times New Roman"/>
                <w:szCs w:val="24"/>
              </w:rPr>
            </w:pPr>
            <w:r>
              <w:rPr>
                <w:rFonts w:cs="Times New Roman"/>
                <w:szCs w:val="24"/>
              </w:rPr>
              <w:t>andrew.knight@state.nm.us</w:t>
            </w:r>
          </w:p>
          <w:p w14:paraId="1AADDB34" w14:textId="77777777" w:rsidR="007E06E4" w:rsidRDefault="007E06E4" w:rsidP="00A6468A">
            <w:pPr>
              <w:jc w:val="left"/>
              <w:rPr>
                <w:rFonts w:cs="Times New Roman"/>
                <w:i/>
                <w:iCs/>
                <w:szCs w:val="24"/>
              </w:rPr>
            </w:pPr>
            <w:r>
              <w:rPr>
                <w:rFonts w:cs="Times New Roman"/>
                <w:i/>
                <w:iCs/>
                <w:szCs w:val="24"/>
              </w:rPr>
              <w:t>Counsel for the New Mexico Environmental Department</w:t>
            </w:r>
          </w:p>
          <w:p w14:paraId="1ABF1B9B" w14:textId="77777777" w:rsidR="007E06E4" w:rsidRDefault="007E06E4" w:rsidP="00A6468A">
            <w:pPr>
              <w:jc w:val="left"/>
              <w:rPr>
                <w:rFonts w:eastAsia="Times New Roman" w:cs="Times New Roman"/>
                <w:i/>
                <w:iCs/>
                <w:szCs w:val="24"/>
              </w:rPr>
            </w:pPr>
          </w:p>
          <w:p w14:paraId="3092C840" w14:textId="77777777" w:rsidR="007E06E4" w:rsidRDefault="007E06E4" w:rsidP="00A6468A">
            <w:pPr>
              <w:jc w:val="both"/>
              <w:rPr>
                <w:rFonts w:cs="Times New Roman"/>
                <w:szCs w:val="24"/>
              </w:rPr>
            </w:pPr>
            <w:r>
              <w:rPr>
                <w:rFonts w:cs="Times New Roman"/>
                <w:szCs w:val="24"/>
              </w:rPr>
              <w:t xml:space="preserve">Elizabeth </w:t>
            </w:r>
            <w:proofErr w:type="spellStart"/>
            <w:r>
              <w:rPr>
                <w:rFonts w:cs="Times New Roman"/>
                <w:szCs w:val="24"/>
              </w:rPr>
              <w:t>deLone</w:t>
            </w:r>
            <w:proofErr w:type="spellEnd"/>
            <w:r>
              <w:rPr>
                <w:rFonts w:cs="Times New Roman"/>
                <w:szCs w:val="24"/>
              </w:rPr>
              <w:t xml:space="preserve"> Paranhos</w:t>
            </w:r>
          </w:p>
          <w:p w14:paraId="0A1908E8" w14:textId="77777777" w:rsidR="007E06E4" w:rsidRDefault="007E06E4" w:rsidP="00A6468A">
            <w:pPr>
              <w:jc w:val="both"/>
              <w:rPr>
                <w:rFonts w:cs="Times New Roman"/>
                <w:szCs w:val="24"/>
              </w:rPr>
            </w:pPr>
            <w:proofErr w:type="spellStart"/>
            <w:r>
              <w:rPr>
                <w:rFonts w:cs="Times New Roman"/>
                <w:szCs w:val="24"/>
              </w:rPr>
              <w:t>Delone</w:t>
            </w:r>
            <w:proofErr w:type="spellEnd"/>
            <w:r>
              <w:rPr>
                <w:rFonts w:cs="Times New Roman"/>
                <w:szCs w:val="24"/>
              </w:rPr>
              <w:t xml:space="preserve"> Law Inc.</w:t>
            </w:r>
          </w:p>
          <w:p w14:paraId="7D7774F5" w14:textId="77777777" w:rsidR="007E06E4" w:rsidRDefault="007E06E4" w:rsidP="00A6468A">
            <w:pPr>
              <w:jc w:val="both"/>
              <w:rPr>
                <w:rFonts w:cs="Times New Roman"/>
                <w:szCs w:val="24"/>
              </w:rPr>
            </w:pPr>
            <w:r>
              <w:rPr>
                <w:rFonts w:cs="Times New Roman"/>
                <w:szCs w:val="24"/>
              </w:rPr>
              <w:t>1555 Jennine Place</w:t>
            </w:r>
          </w:p>
          <w:p w14:paraId="6ACEE28C" w14:textId="77777777" w:rsidR="007E06E4" w:rsidRDefault="007E06E4" w:rsidP="00A6468A">
            <w:pPr>
              <w:jc w:val="both"/>
              <w:rPr>
                <w:rFonts w:cs="Times New Roman"/>
                <w:szCs w:val="24"/>
              </w:rPr>
            </w:pPr>
            <w:r>
              <w:rPr>
                <w:rFonts w:cs="Times New Roman"/>
                <w:szCs w:val="24"/>
              </w:rPr>
              <w:t>Boulder, Colorado 80304</w:t>
            </w:r>
          </w:p>
          <w:p w14:paraId="1DD60554" w14:textId="77777777" w:rsidR="007E06E4" w:rsidRDefault="007E06E4" w:rsidP="00A6468A">
            <w:pPr>
              <w:jc w:val="both"/>
              <w:rPr>
                <w:rFonts w:cs="Times New Roman"/>
                <w:szCs w:val="24"/>
              </w:rPr>
            </w:pPr>
            <w:r>
              <w:rPr>
                <w:rFonts w:cs="Times New Roman"/>
                <w:szCs w:val="24"/>
              </w:rPr>
              <w:t>elizabeth@delonelaw.com</w:t>
            </w:r>
          </w:p>
          <w:p w14:paraId="369733B8" w14:textId="77777777" w:rsidR="007E06E4" w:rsidRDefault="007E06E4" w:rsidP="00A6468A">
            <w:pPr>
              <w:jc w:val="left"/>
              <w:rPr>
                <w:rFonts w:cs="Times New Roman"/>
                <w:i/>
                <w:iCs/>
                <w:szCs w:val="24"/>
              </w:rPr>
            </w:pPr>
            <w:r>
              <w:rPr>
                <w:rFonts w:cs="Times New Roman"/>
                <w:i/>
                <w:iCs/>
                <w:szCs w:val="24"/>
              </w:rPr>
              <w:t>Counsel for Environmental Defense Fund</w:t>
            </w:r>
          </w:p>
          <w:p w14:paraId="61A7E944" w14:textId="77777777" w:rsidR="007E06E4" w:rsidRDefault="007E06E4" w:rsidP="00A6468A">
            <w:pPr>
              <w:jc w:val="left"/>
              <w:rPr>
                <w:rFonts w:cs="Times New Roman"/>
                <w:i/>
                <w:iCs/>
                <w:szCs w:val="24"/>
              </w:rPr>
            </w:pPr>
          </w:p>
          <w:p w14:paraId="01ACC43A" w14:textId="77777777" w:rsidR="007E06E4" w:rsidRDefault="007E06E4" w:rsidP="00A6468A">
            <w:pPr>
              <w:jc w:val="left"/>
              <w:rPr>
                <w:rFonts w:cs="Times New Roman"/>
                <w:szCs w:val="24"/>
              </w:rPr>
            </w:pPr>
            <w:r>
              <w:rPr>
                <w:rFonts w:cs="Times New Roman"/>
                <w:szCs w:val="24"/>
              </w:rPr>
              <w:t>J. Scott Janoe</w:t>
            </w:r>
          </w:p>
          <w:p w14:paraId="5BF09579" w14:textId="77777777" w:rsidR="007E06E4" w:rsidRDefault="007E06E4" w:rsidP="00A6468A">
            <w:pPr>
              <w:jc w:val="left"/>
              <w:rPr>
                <w:rFonts w:cs="Times New Roman"/>
                <w:szCs w:val="24"/>
              </w:rPr>
            </w:pPr>
            <w:r>
              <w:rPr>
                <w:rFonts w:cs="Times New Roman"/>
                <w:szCs w:val="24"/>
              </w:rPr>
              <w:t>Baker Botts LLP</w:t>
            </w:r>
          </w:p>
          <w:p w14:paraId="37A329D6" w14:textId="77777777" w:rsidR="007E06E4" w:rsidRDefault="007E06E4" w:rsidP="00A6468A">
            <w:pPr>
              <w:jc w:val="left"/>
              <w:rPr>
                <w:rFonts w:cs="Times New Roman"/>
                <w:szCs w:val="24"/>
              </w:rPr>
            </w:pPr>
            <w:r>
              <w:rPr>
                <w:rFonts w:cs="Times New Roman"/>
                <w:szCs w:val="24"/>
              </w:rPr>
              <w:t>910 Louisiana Street</w:t>
            </w:r>
          </w:p>
          <w:p w14:paraId="0988D049" w14:textId="77777777" w:rsidR="007E06E4" w:rsidRDefault="007E06E4" w:rsidP="00A6468A">
            <w:pPr>
              <w:jc w:val="left"/>
              <w:rPr>
                <w:rFonts w:cs="Times New Roman"/>
                <w:szCs w:val="24"/>
              </w:rPr>
            </w:pPr>
            <w:r>
              <w:rPr>
                <w:rFonts w:cs="Times New Roman"/>
                <w:szCs w:val="24"/>
              </w:rPr>
              <w:lastRenderedPageBreak/>
              <w:t>Houston, Texas 77002</w:t>
            </w:r>
          </w:p>
          <w:p w14:paraId="60AB3651" w14:textId="77777777" w:rsidR="007E06E4" w:rsidRDefault="007E06E4" w:rsidP="00A6468A">
            <w:pPr>
              <w:jc w:val="left"/>
              <w:rPr>
                <w:rFonts w:eastAsia="Times New Roman" w:cs="Times New Roman"/>
                <w:szCs w:val="24"/>
              </w:rPr>
            </w:pPr>
            <w:r>
              <w:rPr>
                <w:rFonts w:eastAsia="Times New Roman" w:cs="Times New Roman"/>
                <w:szCs w:val="24"/>
              </w:rPr>
              <w:t>Scott.janoe@bakerbotts.com</w:t>
            </w:r>
          </w:p>
          <w:p w14:paraId="234FAB4D" w14:textId="77777777" w:rsidR="007E06E4" w:rsidRDefault="007E06E4" w:rsidP="00A6468A">
            <w:pPr>
              <w:jc w:val="left"/>
              <w:rPr>
                <w:rFonts w:eastAsia="Times New Roman" w:cs="Times New Roman"/>
                <w:i/>
                <w:iCs/>
                <w:szCs w:val="24"/>
              </w:rPr>
            </w:pPr>
            <w:r>
              <w:rPr>
                <w:rFonts w:eastAsia="Times New Roman" w:cs="Times New Roman"/>
                <w:i/>
                <w:iCs/>
                <w:szCs w:val="24"/>
              </w:rPr>
              <w:t>Counsel for Oxy USA Inc.</w:t>
            </w:r>
          </w:p>
          <w:p w14:paraId="426B75B3" w14:textId="77777777" w:rsidR="007E06E4" w:rsidRDefault="007E06E4" w:rsidP="00A6468A">
            <w:pPr>
              <w:jc w:val="left"/>
              <w:rPr>
                <w:rFonts w:eastAsia="Times New Roman" w:cs="Times New Roman"/>
                <w:i/>
                <w:iCs/>
                <w:szCs w:val="24"/>
              </w:rPr>
            </w:pPr>
          </w:p>
          <w:p w14:paraId="2F8F2DDE" w14:textId="77777777" w:rsidR="007E06E4" w:rsidRDefault="007E06E4" w:rsidP="00A6468A">
            <w:pPr>
              <w:jc w:val="left"/>
              <w:rPr>
                <w:rFonts w:eastAsia="Times New Roman" w:cs="Times New Roman"/>
                <w:szCs w:val="24"/>
              </w:rPr>
            </w:pPr>
            <w:r w:rsidRPr="003664D5">
              <w:rPr>
                <w:rFonts w:eastAsia="Times New Roman" w:cs="Times New Roman"/>
                <w:szCs w:val="24"/>
              </w:rPr>
              <w:t>Ana Maria Gutiérrez</w:t>
            </w:r>
          </w:p>
          <w:p w14:paraId="22DF6F53" w14:textId="77777777" w:rsidR="007E06E4" w:rsidRDefault="007E06E4" w:rsidP="00A6468A">
            <w:pPr>
              <w:jc w:val="left"/>
              <w:rPr>
                <w:rFonts w:eastAsia="Times New Roman" w:cs="Times New Roman"/>
                <w:szCs w:val="24"/>
              </w:rPr>
            </w:pPr>
            <w:r>
              <w:rPr>
                <w:rFonts w:eastAsia="Times New Roman" w:cs="Times New Roman"/>
                <w:szCs w:val="24"/>
              </w:rPr>
              <w:t>Hogan Lovells US LLP</w:t>
            </w:r>
          </w:p>
          <w:p w14:paraId="70BE762D" w14:textId="77777777" w:rsidR="007E06E4" w:rsidRDefault="007E06E4" w:rsidP="00A6468A">
            <w:pPr>
              <w:jc w:val="left"/>
              <w:rPr>
                <w:rFonts w:eastAsia="Times New Roman" w:cs="Times New Roman"/>
                <w:szCs w:val="24"/>
              </w:rPr>
            </w:pPr>
            <w:r>
              <w:rPr>
                <w:rFonts w:eastAsia="Times New Roman" w:cs="Times New Roman"/>
                <w:szCs w:val="24"/>
              </w:rPr>
              <w:t xml:space="preserve">1601 </w:t>
            </w:r>
            <w:proofErr w:type="spellStart"/>
            <w:r>
              <w:rPr>
                <w:rFonts w:eastAsia="Times New Roman" w:cs="Times New Roman"/>
                <w:szCs w:val="24"/>
              </w:rPr>
              <w:t>Wewatta</w:t>
            </w:r>
            <w:proofErr w:type="spellEnd"/>
            <w:r>
              <w:rPr>
                <w:rFonts w:eastAsia="Times New Roman" w:cs="Times New Roman"/>
                <w:szCs w:val="24"/>
              </w:rPr>
              <w:t xml:space="preserve"> Street, Suite 900</w:t>
            </w:r>
          </w:p>
          <w:p w14:paraId="55C890EF" w14:textId="77777777" w:rsidR="007E06E4" w:rsidRDefault="007E06E4" w:rsidP="00A6468A">
            <w:pPr>
              <w:jc w:val="left"/>
              <w:rPr>
                <w:rFonts w:eastAsia="Times New Roman" w:cs="Times New Roman"/>
                <w:szCs w:val="24"/>
              </w:rPr>
            </w:pPr>
            <w:r>
              <w:rPr>
                <w:rFonts w:eastAsia="Times New Roman" w:cs="Times New Roman"/>
                <w:szCs w:val="24"/>
              </w:rPr>
              <w:t>Denver, CO 80202</w:t>
            </w:r>
          </w:p>
          <w:p w14:paraId="0A6D12F2" w14:textId="77777777" w:rsidR="007E06E4" w:rsidRDefault="007E06E4" w:rsidP="00A6468A">
            <w:pPr>
              <w:jc w:val="left"/>
              <w:rPr>
                <w:rFonts w:eastAsia="Times New Roman" w:cs="Times New Roman"/>
                <w:szCs w:val="24"/>
              </w:rPr>
            </w:pPr>
            <w:r w:rsidRPr="00F70CDE">
              <w:rPr>
                <w:rFonts w:eastAsia="Times New Roman" w:cs="Times New Roman"/>
                <w:szCs w:val="24"/>
              </w:rPr>
              <w:t>Ana.gutierrez@hoganlovells.com</w:t>
            </w:r>
          </w:p>
          <w:p w14:paraId="157C7388" w14:textId="77777777" w:rsidR="007E06E4" w:rsidRDefault="007E06E4" w:rsidP="00A6468A">
            <w:pPr>
              <w:jc w:val="left"/>
              <w:rPr>
                <w:rFonts w:eastAsia="Times New Roman" w:cs="Times New Roman"/>
                <w:szCs w:val="24"/>
              </w:rPr>
            </w:pPr>
          </w:p>
          <w:p w14:paraId="6268E2EC" w14:textId="77777777" w:rsidR="007E06E4" w:rsidRDefault="007E06E4" w:rsidP="00A6468A">
            <w:pPr>
              <w:jc w:val="both"/>
              <w:rPr>
                <w:rFonts w:cs="Times New Roman"/>
                <w:szCs w:val="24"/>
              </w:rPr>
            </w:pPr>
            <w:r>
              <w:rPr>
                <w:rFonts w:cs="Times New Roman"/>
                <w:szCs w:val="24"/>
              </w:rPr>
              <w:t>Sandra Milena McCarthy</w:t>
            </w:r>
          </w:p>
          <w:p w14:paraId="6CD6729D" w14:textId="77777777" w:rsidR="007E06E4" w:rsidRDefault="007E06E4" w:rsidP="00A6468A">
            <w:pPr>
              <w:jc w:val="both"/>
              <w:rPr>
                <w:rFonts w:cs="Times New Roman"/>
                <w:szCs w:val="24"/>
              </w:rPr>
            </w:pPr>
            <w:r>
              <w:rPr>
                <w:rFonts w:cs="Times New Roman"/>
                <w:szCs w:val="24"/>
              </w:rPr>
              <w:t>Hogan Lovells LLP</w:t>
            </w:r>
          </w:p>
          <w:p w14:paraId="79F7ED0A" w14:textId="77777777" w:rsidR="007E06E4" w:rsidRDefault="007E06E4" w:rsidP="00A6468A">
            <w:pPr>
              <w:jc w:val="both"/>
              <w:rPr>
                <w:rFonts w:cs="Times New Roman"/>
                <w:szCs w:val="24"/>
              </w:rPr>
            </w:pPr>
            <w:r>
              <w:rPr>
                <w:rFonts w:cs="Times New Roman"/>
                <w:szCs w:val="24"/>
              </w:rPr>
              <w:t>Columbia Square</w:t>
            </w:r>
          </w:p>
          <w:p w14:paraId="374D8A26" w14:textId="77777777" w:rsidR="007E06E4" w:rsidRDefault="007E06E4" w:rsidP="00A6468A">
            <w:pPr>
              <w:jc w:val="both"/>
              <w:rPr>
                <w:rFonts w:cs="Times New Roman"/>
                <w:szCs w:val="24"/>
              </w:rPr>
            </w:pPr>
            <w:r>
              <w:rPr>
                <w:rFonts w:cs="Times New Roman"/>
                <w:szCs w:val="24"/>
              </w:rPr>
              <w:t>555 Thirteenth Street, NW</w:t>
            </w:r>
          </w:p>
          <w:p w14:paraId="34B9B4D6" w14:textId="77777777" w:rsidR="007E06E4" w:rsidRDefault="007E06E4" w:rsidP="00A6468A">
            <w:pPr>
              <w:jc w:val="both"/>
              <w:rPr>
                <w:rFonts w:cs="Times New Roman"/>
                <w:szCs w:val="24"/>
              </w:rPr>
            </w:pPr>
            <w:r>
              <w:rPr>
                <w:rFonts w:cs="Times New Roman"/>
                <w:szCs w:val="24"/>
              </w:rPr>
              <w:t>Washington, DC 20004</w:t>
            </w:r>
          </w:p>
          <w:p w14:paraId="535B5832" w14:textId="77777777" w:rsidR="007E06E4" w:rsidRDefault="007E06E4" w:rsidP="00A6468A">
            <w:pPr>
              <w:jc w:val="both"/>
              <w:rPr>
                <w:rFonts w:cs="Times New Roman"/>
                <w:szCs w:val="24"/>
              </w:rPr>
            </w:pPr>
            <w:r>
              <w:rPr>
                <w:rFonts w:cs="Times New Roman"/>
                <w:szCs w:val="24"/>
              </w:rPr>
              <w:t>Sandra.mccarthy@hoganlovells.com</w:t>
            </w:r>
          </w:p>
          <w:p w14:paraId="725369ED" w14:textId="77777777" w:rsidR="007E06E4" w:rsidRDefault="007E06E4" w:rsidP="00A6468A">
            <w:pPr>
              <w:jc w:val="left"/>
              <w:rPr>
                <w:rFonts w:eastAsia="Times New Roman" w:cs="Times New Roman"/>
                <w:szCs w:val="24"/>
              </w:rPr>
            </w:pPr>
          </w:p>
          <w:p w14:paraId="05139B4B" w14:textId="77777777" w:rsidR="007E06E4" w:rsidRDefault="007E06E4" w:rsidP="00A6468A">
            <w:pPr>
              <w:jc w:val="left"/>
              <w:rPr>
                <w:rFonts w:eastAsia="Times New Roman" w:cs="Times New Roman"/>
                <w:i/>
                <w:iCs/>
                <w:szCs w:val="24"/>
              </w:rPr>
            </w:pPr>
            <w:r w:rsidRPr="003664D5">
              <w:rPr>
                <w:rFonts w:eastAsia="Times New Roman" w:cs="Times New Roman"/>
                <w:i/>
                <w:iCs/>
                <w:szCs w:val="24"/>
              </w:rPr>
              <w:t xml:space="preserve">Counsel for Kinder Morgan, Inc., El Paso Natural Gas Company, L.L.C., </w:t>
            </w:r>
            <w:proofErr w:type="spellStart"/>
            <w:r w:rsidRPr="003664D5">
              <w:rPr>
                <w:rFonts w:eastAsia="Times New Roman" w:cs="Times New Roman"/>
                <w:i/>
                <w:iCs/>
                <w:szCs w:val="24"/>
              </w:rPr>
              <w:t>TransColorado</w:t>
            </w:r>
            <w:proofErr w:type="spellEnd"/>
            <w:r w:rsidRPr="003664D5">
              <w:rPr>
                <w:rFonts w:eastAsia="Times New Roman" w:cs="Times New Roman"/>
                <w:i/>
                <w:iCs/>
                <w:szCs w:val="24"/>
              </w:rPr>
              <w:t xml:space="preserve"> Gas Transmission Co., LLC, and Natural Gas Pipeline Company of America, LLC</w:t>
            </w:r>
          </w:p>
          <w:p w14:paraId="5C3938D4" w14:textId="77777777" w:rsidR="007E06E4" w:rsidRDefault="007E06E4" w:rsidP="00A6468A">
            <w:pPr>
              <w:jc w:val="left"/>
              <w:rPr>
                <w:rFonts w:eastAsia="Times New Roman" w:cs="Times New Roman"/>
                <w:i/>
                <w:iCs/>
                <w:szCs w:val="24"/>
              </w:rPr>
            </w:pPr>
          </w:p>
          <w:p w14:paraId="1A45F9C8" w14:textId="77777777" w:rsidR="007E06E4" w:rsidRDefault="007E06E4" w:rsidP="00A6468A">
            <w:pPr>
              <w:jc w:val="left"/>
              <w:rPr>
                <w:rFonts w:eastAsia="Times New Roman" w:cs="Times New Roman"/>
                <w:szCs w:val="24"/>
              </w:rPr>
            </w:pPr>
            <w:r>
              <w:rPr>
                <w:rFonts w:eastAsia="Times New Roman" w:cs="Times New Roman"/>
                <w:szCs w:val="24"/>
              </w:rPr>
              <w:t xml:space="preserve">Charles de </w:t>
            </w:r>
            <w:proofErr w:type="spellStart"/>
            <w:r>
              <w:rPr>
                <w:rFonts w:eastAsia="Times New Roman" w:cs="Times New Roman"/>
                <w:szCs w:val="24"/>
              </w:rPr>
              <w:t>Saillan</w:t>
            </w:r>
            <w:proofErr w:type="spellEnd"/>
          </w:p>
          <w:p w14:paraId="098C1C31" w14:textId="77777777" w:rsidR="007E06E4" w:rsidRDefault="007E06E4" w:rsidP="00A6468A">
            <w:pPr>
              <w:jc w:val="left"/>
              <w:rPr>
                <w:rFonts w:eastAsia="Times New Roman" w:cs="Times New Roman"/>
                <w:szCs w:val="24"/>
              </w:rPr>
            </w:pPr>
            <w:r>
              <w:rPr>
                <w:rFonts w:eastAsia="Times New Roman" w:cs="Times New Roman"/>
                <w:szCs w:val="24"/>
              </w:rPr>
              <w:t>New Mexico Environmental Law Center</w:t>
            </w:r>
          </w:p>
          <w:p w14:paraId="5F222F8F" w14:textId="77777777" w:rsidR="007E06E4" w:rsidRDefault="007E06E4" w:rsidP="00A6468A">
            <w:pPr>
              <w:jc w:val="left"/>
              <w:rPr>
                <w:rFonts w:eastAsia="Times New Roman" w:cs="Times New Roman"/>
                <w:szCs w:val="24"/>
              </w:rPr>
            </w:pPr>
            <w:r>
              <w:rPr>
                <w:rFonts w:eastAsia="Times New Roman" w:cs="Times New Roman"/>
                <w:szCs w:val="24"/>
              </w:rPr>
              <w:t>1405 Luisa Street, Suite 5</w:t>
            </w:r>
          </w:p>
          <w:p w14:paraId="3D875DC9" w14:textId="77777777" w:rsidR="007E06E4" w:rsidRDefault="007E06E4" w:rsidP="00A6468A">
            <w:pPr>
              <w:jc w:val="left"/>
              <w:rPr>
                <w:rFonts w:eastAsia="Times New Roman" w:cs="Times New Roman"/>
                <w:szCs w:val="24"/>
              </w:rPr>
            </w:pPr>
            <w:r>
              <w:rPr>
                <w:rFonts w:eastAsia="Times New Roman" w:cs="Times New Roman"/>
                <w:szCs w:val="24"/>
              </w:rPr>
              <w:t>Santa Fe, New Mexico 87505</w:t>
            </w:r>
          </w:p>
          <w:p w14:paraId="0D25C3E3" w14:textId="77777777" w:rsidR="007E06E4" w:rsidRDefault="007E06E4" w:rsidP="00A6468A">
            <w:pPr>
              <w:jc w:val="left"/>
              <w:rPr>
                <w:rFonts w:eastAsia="Times New Roman" w:cs="Times New Roman"/>
                <w:szCs w:val="24"/>
              </w:rPr>
            </w:pPr>
            <w:r>
              <w:rPr>
                <w:rFonts w:eastAsia="Times New Roman" w:cs="Times New Roman"/>
                <w:szCs w:val="24"/>
              </w:rPr>
              <w:t>cdesaillan@nmelc.org</w:t>
            </w:r>
          </w:p>
          <w:p w14:paraId="7CD88319" w14:textId="77777777" w:rsidR="007E06E4" w:rsidRDefault="007E06E4" w:rsidP="00A6468A">
            <w:pPr>
              <w:jc w:val="left"/>
              <w:rPr>
                <w:rFonts w:eastAsia="Times New Roman" w:cs="Times New Roman"/>
                <w:i/>
                <w:iCs/>
                <w:szCs w:val="24"/>
              </w:rPr>
            </w:pPr>
            <w:r>
              <w:rPr>
                <w:rFonts w:eastAsia="Times New Roman" w:cs="Times New Roman"/>
                <w:i/>
                <w:iCs/>
                <w:szCs w:val="24"/>
              </w:rPr>
              <w:t>Legal Counsel for New Mexico Environmental Law Center</w:t>
            </w:r>
          </w:p>
          <w:p w14:paraId="192A59A9" w14:textId="77777777" w:rsidR="007E06E4" w:rsidRDefault="007E06E4" w:rsidP="00A6468A">
            <w:pPr>
              <w:jc w:val="left"/>
              <w:rPr>
                <w:rFonts w:eastAsia="Times New Roman" w:cs="Times New Roman"/>
                <w:i/>
                <w:iCs/>
                <w:szCs w:val="24"/>
              </w:rPr>
            </w:pPr>
          </w:p>
          <w:p w14:paraId="08BE5A60" w14:textId="77777777" w:rsidR="007E06E4" w:rsidRDefault="007E06E4" w:rsidP="00A6468A">
            <w:pPr>
              <w:jc w:val="left"/>
              <w:rPr>
                <w:rFonts w:eastAsia="Times New Roman" w:cs="Times New Roman"/>
                <w:szCs w:val="24"/>
              </w:rPr>
            </w:pPr>
            <w:r>
              <w:rPr>
                <w:rFonts w:eastAsia="Times New Roman" w:cs="Times New Roman"/>
                <w:szCs w:val="24"/>
              </w:rPr>
              <w:t xml:space="preserve">Jeffrey </w:t>
            </w:r>
            <w:proofErr w:type="spellStart"/>
            <w:r>
              <w:rPr>
                <w:rFonts w:eastAsia="Times New Roman" w:cs="Times New Roman"/>
                <w:szCs w:val="24"/>
              </w:rPr>
              <w:t>Holmstead</w:t>
            </w:r>
            <w:proofErr w:type="spellEnd"/>
          </w:p>
          <w:p w14:paraId="099DCE46" w14:textId="77777777" w:rsidR="007E06E4" w:rsidRDefault="007E06E4" w:rsidP="00A6468A">
            <w:pPr>
              <w:jc w:val="left"/>
              <w:rPr>
                <w:rFonts w:eastAsia="Times New Roman" w:cs="Times New Roman"/>
                <w:szCs w:val="24"/>
              </w:rPr>
            </w:pPr>
            <w:r>
              <w:rPr>
                <w:rFonts w:eastAsia="Times New Roman" w:cs="Times New Roman"/>
                <w:szCs w:val="24"/>
              </w:rPr>
              <w:t xml:space="preserve">Tim Wilkins </w:t>
            </w:r>
          </w:p>
          <w:p w14:paraId="05FF0C27" w14:textId="77777777" w:rsidR="007E06E4" w:rsidRDefault="007E06E4" w:rsidP="00A6468A">
            <w:pPr>
              <w:jc w:val="left"/>
              <w:rPr>
                <w:rFonts w:eastAsia="Times New Roman" w:cs="Times New Roman"/>
                <w:szCs w:val="24"/>
              </w:rPr>
            </w:pPr>
            <w:r>
              <w:rPr>
                <w:rFonts w:eastAsia="Times New Roman" w:cs="Times New Roman"/>
                <w:szCs w:val="24"/>
              </w:rPr>
              <w:t>Whit Swift</w:t>
            </w:r>
          </w:p>
          <w:p w14:paraId="2481FAE7" w14:textId="77777777" w:rsidR="007E06E4" w:rsidRDefault="007E06E4" w:rsidP="00A6468A">
            <w:pPr>
              <w:jc w:val="left"/>
              <w:rPr>
                <w:rFonts w:eastAsia="Times New Roman" w:cs="Times New Roman"/>
                <w:szCs w:val="24"/>
              </w:rPr>
            </w:pPr>
            <w:r>
              <w:rPr>
                <w:rFonts w:eastAsia="Times New Roman" w:cs="Times New Roman"/>
                <w:szCs w:val="24"/>
              </w:rPr>
              <w:t>Bracewell LLP</w:t>
            </w:r>
          </w:p>
          <w:p w14:paraId="29833561" w14:textId="77777777" w:rsidR="007E06E4" w:rsidRDefault="007E06E4" w:rsidP="00A6468A">
            <w:pPr>
              <w:jc w:val="left"/>
              <w:rPr>
                <w:rFonts w:eastAsia="Times New Roman" w:cs="Times New Roman"/>
                <w:szCs w:val="24"/>
              </w:rPr>
            </w:pPr>
            <w:r>
              <w:rPr>
                <w:rFonts w:eastAsia="Times New Roman" w:cs="Times New Roman"/>
                <w:szCs w:val="24"/>
              </w:rPr>
              <w:t>111 Congress Avenue, Suite 2300</w:t>
            </w:r>
          </w:p>
          <w:p w14:paraId="29A38C54" w14:textId="77777777" w:rsidR="007E06E4" w:rsidRDefault="007E06E4" w:rsidP="00A6468A">
            <w:pPr>
              <w:jc w:val="left"/>
              <w:rPr>
                <w:rFonts w:eastAsia="Times New Roman" w:cs="Times New Roman"/>
                <w:szCs w:val="24"/>
              </w:rPr>
            </w:pPr>
            <w:r>
              <w:rPr>
                <w:rFonts w:eastAsia="Times New Roman" w:cs="Times New Roman"/>
                <w:szCs w:val="24"/>
              </w:rPr>
              <w:t>Austin, Texas 78701</w:t>
            </w:r>
          </w:p>
          <w:p w14:paraId="024B2DF0" w14:textId="77777777" w:rsidR="007E06E4" w:rsidRDefault="007E06E4" w:rsidP="00A6468A">
            <w:pPr>
              <w:jc w:val="left"/>
              <w:rPr>
                <w:rFonts w:eastAsia="Times New Roman" w:cs="Times New Roman"/>
                <w:szCs w:val="24"/>
              </w:rPr>
            </w:pPr>
            <w:r w:rsidRPr="00462D0D">
              <w:rPr>
                <w:rFonts w:eastAsia="Times New Roman" w:cs="Times New Roman"/>
                <w:szCs w:val="24"/>
              </w:rPr>
              <w:t>Jeff.holmstead@bracewell.com</w:t>
            </w:r>
          </w:p>
          <w:p w14:paraId="192E053D" w14:textId="77777777" w:rsidR="007E06E4" w:rsidRDefault="007E06E4" w:rsidP="00A6468A">
            <w:pPr>
              <w:jc w:val="left"/>
              <w:rPr>
                <w:rFonts w:eastAsia="Times New Roman" w:cs="Times New Roman"/>
                <w:szCs w:val="24"/>
              </w:rPr>
            </w:pPr>
            <w:r w:rsidRPr="00462D0D">
              <w:rPr>
                <w:rFonts w:eastAsia="Times New Roman" w:cs="Times New Roman"/>
                <w:szCs w:val="24"/>
              </w:rPr>
              <w:t>Tim.wilkins@bracewell.com</w:t>
            </w:r>
          </w:p>
          <w:p w14:paraId="158BBFB8" w14:textId="77777777" w:rsidR="007E06E4" w:rsidRDefault="007E06E4" w:rsidP="00A6468A">
            <w:pPr>
              <w:jc w:val="left"/>
              <w:rPr>
                <w:rFonts w:eastAsia="Times New Roman" w:cs="Times New Roman"/>
                <w:szCs w:val="24"/>
              </w:rPr>
            </w:pPr>
            <w:r w:rsidRPr="00462D0D">
              <w:rPr>
                <w:rFonts w:eastAsia="Times New Roman" w:cs="Times New Roman"/>
                <w:szCs w:val="24"/>
              </w:rPr>
              <w:t>Whit.swift@bracewell.com</w:t>
            </w:r>
          </w:p>
          <w:p w14:paraId="2D46B60F" w14:textId="77777777" w:rsidR="007E06E4" w:rsidRDefault="007E06E4" w:rsidP="00A6468A">
            <w:pPr>
              <w:jc w:val="left"/>
              <w:rPr>
                <w:rFonts w:eastAsia="Times New Roman" w:cs="Times New Roman"/>
                <w:szCs w:val="24"/>
              </w:rPr>
            </w:pPr>
          </w:p>
          <w:p w14:paraId="0CC32A7B" w14:textId="77777777" w:rsidR="007E06E4" w:rsidRDefault="007E06E4" w:rsidP="00A6468A">
            <w:pPr>
              <w:jc w:val="left"/>
              <w:rPr>
                <w:rFonts w:eastAsia="Times New Roman" w:cs="Times New Roman"/>
                <w:szCs w:val="24"/>
              </w:rPr>
            </w:pPr>
            <w:r>
              <w:rPr>
                <w:rFonts w:eastAsia="Times New Roman" w:cs="Times New Roman"/>
                <w:szCs w:val="24"/>
              </w:rPr>
              <w:t xml:space="preserve">Stuart R. </w:t>
            </w:r>
            <w:proofErr w:type="spellStart"/>
            <w:r>
              <w:rPr>
                <w:rFonts w:eastAsia="Times New Roman" w:cs="Times New Roman"/>
                <w:szCs w:val="24"/>
              </w:rPr>
              <w:t>Butzier</w:t>
            </w:r>
            <w:proofErr w:type="spellEnd"/>
          </w:p>
          <w:p w14:paraId="364159AC" w14:textId="77777777" w:rsidR="007E06E4" w:rsidRDefault="007E06E4" w:rsidP="00A6468A">
            <w:pPr>
              <w:jc w:val="left"/>
              <w:rPr>
                <w:rFonts w:eastAsia="Times New Roman" w:cs="Times New Roman"/>
                <w:szCs w:val="24"/>
              </w:rPr>
            </w:pPr>
            <w:r>
              <w:rPr>
                <w:rFonts w:eastAsia="Times New Roman" w:cs="Times New Roman"/>
                <w:szCs w:val="24"/>
              </w:rPr>
              <w:t>Christina C. Sheehan</w:t>
            </w:r>
          </w:p>
          <w:p w14:paraId="0419DCAD" w14:textId="77777777" w:rsidR="007E06E4" w:rsidRDefault="007E06E4" w:rsidP="00A6468A">
            <w:pPr>
              <w:jc w:val="left"/>
              <w:rPr>
                <w:rFonts w:eastAsia="Times New Roman" w:cs="Times New Roman"/>
                <w:szCs w:val="24"/>
              </w:rPr>
            </w:pPr>
            <w:proofErr w:type="spellStart"/>
            <w:r>
              <w:rPr>
                <w:rFonts w:eastAsia="Times New Roman" w:cs="Times New Roman"/>
                <w:szCs w:val="24"/>
              </w:rPr>
              <w:t>Modrall</w:t>
            </w:r>
            <w:proofErr w:type="spellEnd"/>
            <w:r>
              <w:rPr>
                <w:rFonts w:eastAsia="Times New Roman" w:cs="Times New Roman"/>
                <w:szCs w:val="24"/>
              </w:rPr>
              <w:t>, Sperling, Roehl, Harris &amp; Sisk, PA</w:t>
            </w:r>
          </w:p>
          <w:p w14:paraId="6F338D5F" w14:textId="77777777" w:rsidR="007E06E4" w:rsidRDefault="007E06E4" w:rsidP="00A6468A">
            <w:pPr>
              <w:jc w:val="left"/>
              <w:rPr>
                <w:rFonts w:eastAsia="Times New Roman" w:cs="Times New Roman"/>
                <w:szCs w:val="24"/>
              </w:rPr>
            </w:pPr>
            <w:r>
              <w:rPr>
                <w:rFonts w:eastAsia="Times New Roman" w:cs="Times New Roman"/>
                <w:szCs w:val="24"/>
              </w:rPr>
              <w:t>PO Box 2168</w:t>
            </w:r>
          </w:p>
          <w:p w14:paraId="27C35C04" w14:textId="77777777" w:rsidR="007E06E4" w:rsidRDefault="007E06E4" w:rsidP="00A6468A">
            <w:pPr>
              <w:jc w:val="left"/>
              <w:rPr>
                <w:rFonts w:eastAsia="Times New Roman" w:cs="Times New Roman"/>
                <w:szCs w:val="24"/>
              </w:rPr>
            </w:pPr>
            <w:r>
              <w:rPr>
                <w:rFonts w:eastAsia="Times New Roman" w:cs="Times New Roman"/>
                <w:szCs w:val="24"/>
              </w:rPr>
              <w:t>Albuquerque, New Mexico 87103-2162</w:t>
            </w:r>
          </w:p>
          <w:p w14:paraId="0CADCB84" w14:textId="77777777" w:rsidR="007E06E4" w:rsidRDefault="007E06E4" w:rsidP="00A6468A">
            <w:pPr>
              <w:jc w:val="left"/>
              <w:rPr>
                <w:rFonts w:eastAsia="Times New Roman" w:cs="Times New Roman"/>
                <w:szCs w:val="24"/>
              </w:rPr>
            </w:pPr>
            <w:r w:rsidRPr="00462D0D">
              <w:rPr>
                <w:rFonts w:eastAsia="Times New Roman" w:cs="Times New Roman"/>
                <w:szCs w:val="24"/>
              </w:rPr>
              <w:t>srb@modrall.com</w:t>
            </w:r>
          </w:p>
          <w:p w14:paraId="02653410" w14:textId="77777777" w:rsidR="007E06E4" w:rsidRDefault="007E06E4" w:rsidP="00A6468A">
            <w:pPr>
              <w:jc w:val="left"/>
              <w:rPr>
                <w:rFonts w:eastAsia="Times New Roman" w:cs="Times New Roman"/>
                <w:szCs w:val="24"/>
              </w:rPr>
            </w:pPr>
            <w:r w:rsidRPr="00462D0D">
              <w:rPr>
                <w:rFonts w:eastAsia="Times New Roman" w:cs="Times New Roman"/>
                <w:szCs w:val="24"/>
              </w:rPr>
              <w:lastRenderedPageBreak/>
              <w:t>ccs@modrall.com</w:t>
            </w:r>
          </w:p>
          <w:p w14:paraId="7F8B0A9F" w14:textId="77777777" w:rsidR="007E06E4" w:rsidRDefault="007E06E4" w:rsidP="00A6468A">
            <w:pPr>
              <w:jc w:val="left"/>
              <w:rPr>
                <w:rFonts w:eastAsia="Times New Roman" w:cs="Times New Roman"/>
                <w:i/>
                <w:iCs/>
                <w:szCs w:val="24"/>
              </w:rPr>
            </w:pPr>
            <w:r>
              <w:rPr>
                <w:rFonts w:eastAsia="Times New Roman" w:cs="Times New Roman"/>
                <w:i/>
                <w:iCs/>
                <w:szCs w:val="24"/>
              </w:rPr>
              <w:t>Legal Counsel for The Gas Compressor Association</w:t>
            </w:r>
          </w:p>
          <w:p w14:paraId="14237A8A" w14:textId="77777777" w:rsidR="007E06E4" w:rsidRDefault="007E06E4" w:rsidP="00A6468A">
            <w:pPr>
              <w:jc w:val="left"/>
              <w:rPr>
                <w:rFonts w:eastAsia="Times New Roman" w:cs="Times New Roman"/>
                <w:i/>
                <w:iCs/>
                <w:szCs w:val="24"/>
              </w:rPr>
            </w:pPr>
          </w:p>
          <w:p w14:paraId="3020C598" w14:textId="77777777" w:rsidR="007E06E4" w:rsidRDefault="007E06E4" w:rsidP="00A6468A">
            <w:pPr>
              <w:jc w:val="both"/>
              <w:rPr>
                <w:rFonts w:cs="Times New Roman"/>
                <w:szCs w:val="24"/>
              </w:rPr>
            </w:pPr>
            <w:r>
              <w:rPr>
                <w:rFonts w:cs="Times New Roman"/>
                <w:szCs w:val="24"/>
              </w:rPr>
              <w:t xml:space="preserve">Matthew A. Nykiel </w:t>
            </w:r>
          </w:p>
          <w:p w14:paraId="74491A4D" w14:textId="77777777" w:rsidR="007E06E4" w:rsidRDefault="007E06E4" w:rsidP="00A6468A">
            <w:pPr>
              <w:jc w:val="both"/>
              <w:rPr>
                <w:rFonts w:cs="Times New Roman"/>
                <w:szCs w:val="24"/>
              </w:rPr>
            </w:pPr>
            <w:r>
              <w:rPr>
                <w:rFonts w:cs="Times New Roman"/>
                <w:szCs w:val="24"/>
              </w:rPr>
              <w:t>3798 Marshal St., Ste. 8</w:t>
            </w:r>
          </w:p>
          <w:p w14:paraId="3383041E" w14:textId="77777777" w:rsidR="007E06E4" w:rsidRDefault="007E06E4" w:rsidP="00A6468A">
            <w:pPr>
              <w:jc w:val="both"/>
              <w:rPr>
                <w:rFonts w:cs="Times New Roman"/>
                <w:szCs w:val="24"/>
              </w:rPr>
            </w:pPr>
            <w:r>
              <w:rPr>
                <w:rFonts w:cs="Times New Roman"/>
                <w:szCs w:val="24"/>
              </w:rPr>
              <w:t>Wheat Ridge, CO 80033</w:t>
            </w:r>
          </w:p>
          <w:p w14:paraId="4441CE63" w14:textId="77777777" w:rsidR="007E06E4" w:rsidRDefault="007E06E4" w:rsidP="00A6468A">
            <w:pPr>
              <w:jc w:val="both"/>
              <w:rPr>
                <w:rFonts w:cs="Times New Roman"/>
                <w:szCs w:val="24"/>
              </w:rPr>
            </w:pPr>
            <w:r>
              <w:rPr>
                <w:rFonts w:cs="Times New Roman"/>
                <w:szCs w:val="24"/>
              </w:rPr>
              <w:t>mnykiel@wildearthguardians.org</w:t>
            </w:r>
          </w:p>
          <w:p w14:paraId="2B977D7D" w14:textId="77777777" w:rsidR="007E06E4" w:rsidRDefault="007E06E4" w:rsidP="00A6468A">
            <w:pPr>
              <w:jc w:val="both"/>
              <w:rPr>
                <w:rFonts w:cs="Times New Roman"/>
                <w:szCs w:val="24"/>
              </w:rPr>
            </w:pPr>
          </w:p>
          <w:p w14:paraId="6DB5EFDC" w14:textId="77777777" w:rsidR="007E06E4" w:rsidRDefault="007E06E4" w:rsidP="00A6468A">
            <w:pPr>
              <w:jc w:val="both"/>
              <w:rPr>
                <w:rFonts w:cs="Times New Roman"/>
                <w:szCs w:val="24"/>
              </w:rPr>
            </w:pPr>
            <w:r>
              <w:rPr>
                <w:rFonts w:cs="Times New Roman"/>
                <w:szCs w:val="24"/>
              </w:rPr>
              <w:t>Daniel L. Timmons</w:t>
            </w:r>
          </w:p>
          <w:p w14:paraId="77BFC7C0" w14:textId="77777777" w:rsidR="007E06E4" w:rsidRDefault="007E06E4" w:rsidP="00A6468A">
            <w:pPr>
              <w:jc w:val="both"/>
              <w:rPr>
                <w:rFonts w:cs="Times New Roman"/>
                <w:szCs w:val="24"/>
              </w:rPr>
            </w:pPr>
            <w:r>
              <w:rPr>
                <w:rFonts w:cs="Times New Roman"/>
                <w:szCs w:val="24"/>
              </w:rPr>
              <w:t>301 N. Guadalupe St, Ste. 201</w:t>
            </w:r>
          </w:p>
          <w:p w14:paraId="135F0245" w14:textId="77777777" w:rsidR="007E06E4" w:rsidRDefault="007E06E4" w:rsidP="00A6468A">
            <w:pPr>
              <w:jc w:val="both"/>
              <w:rPr>
                <w:rFonts w:cs="Times New Roman"/>
                <w:szCs w:val="24"/>
              </w:rPr>
            </w:pPr>
            <w:r>
              <w:rPr>
                <w:rFonts w:cs="Times New Roman"/>
                <w:szCs w:val="24"/>
              </w:rPr>
              <w:t>Santa Fe, NM 87501</w:t>
            </w:r>
          </w:p>
          <w:p w14:paraId="3EE6CBBC" w14:textId="77777777" w:rsidR="007E06E4" w:rsidRDefault="007E06E4" w:rsidP="00A6468A">
            <w:pPr>
              <w:jc w:val="both"/>
              <w:rPr>
                <w:rFonts w:cs="Times New Roman"/>
                <w:szCs w:val="24"/>
              </w:rPr>
            </w:pPr>
            <w:r>
              <w:rPr>
                <w:rFonts w:cs="Times New Roman"/>
                <w:szCs w:val="24"/>
              </w:rPr>
              <w:t>dtimmons@wildearthguardians.org</w:t>
            </w:r>
          </w:p>
          <w:p w14:paraId="3722CDC1" w14:textId="77777777" w:rsidR="007E06E4" w:rsidRPr="00EC7535" w:rsidRDefault="007E06E4" w:rsidP="00A6468A">
            <w:pPr>
              <w:jc w:val="both"/>
              <w:rPr>
                <w:rFonts w:cs="Times New Roman"/>
                <w:i/>
                <w:iCs/>
                <w:szCs w:val="24"/>
              </w:rPr>
            </w:pPr>
            <w:r>
              <w:rPr>
                <w:rFonts w:cs="Times New Roman"/>
                <w:i/>
                <w:iCs/>
                <w:szCs w:val="24"/>
              </w:rPr>
              <w:t>Legal Counsel for Wild Earth Guardians</w:t>
            </w:r>
          </w:p>
          <w:p w14:paraId="4D3C3284" w14:textId="77777777" w:rsidR="007E06E4" w:rsidRPr="009221E6" w:rsidRDefault="007E06E4" w:rsidP="00A6468A">
            <w:pPr>
              <w:jc w:val="left"/>
              <w:rPr>
                <w:rFonts w:eastAsia="Times New Roman" w:cs="Times New Roman"/>
                <w:i/>
                <w:iCs/>
                <w:szCs w:val="24"/>
              </w:rPr>
            </w:pPr>
          </w:p>
        </w:tc>
        <w:tc>
          <w:tcPr>
            <w:tcW w:w="4590" w:type="dxa"/>
          </w:tcPr>
          <w:p w14:paraId="196ABDC9" w14:textId="77777777" w:rsidR="007E06E4" w:rsidRDefault="007E06E4" w:rsidP="00A6468A">
            <w:pPr>
              <w:jc w:val="both"/>
              <w:rPr>
                <w:rFonts w:cs="Times New Roman"/>
                <w:szCs w:val="24"/>
              </w:rPr>
            </w:pPr>
            <w:proofErr w:type="spellStart"/>
            <w:r>
              <w:rPr>
                <w:rFonts w:cs="Times New Roman"/>
                <w:szCs w:val="24"/>
              </w:rPr>
              <w:lastRenderedPageBreak/>
              <w:t>Tannis</w:t>
            </w:r>
            <w:proofErr w:type="spellEnd"/>
            <w:r>
              <w:rPr>
                <w:rFonts w:cs="Times New Roman"/>
                <w:szCs w:val="24"/>
              </w:rPr>
              <w:t xml:space="preserve"> Fox</w:t>
            </w:r>
          </w:p>
          <w:p w14:paraId="2EFF749A" w14:textId="77777777" w:rsidR="007E06E4" w:rsidRDefault="007E06E4" w:rsidP="00A6468A">
            <w:pPr>
              <w:jc w:val="both"/>
              <w:rPr>
                <w:rFonts w:cs="Times New Roman"/>
                <w:szCs w:val="24"/>
              </w:rPr>
            </w:pPr>
            <w:r>
              <w:rPr>
                <w:rFonts w:cs="Times New Roman"/>
                <w:szCs w:val="24"/>
              </w:rPr>
              <w:t>Western Environmental Law Center</w:t>
            </w:r>
          </w:p>
          <w:p w14:paraId="192914B6" w14:textId="77777777" w:rsidR="007E06E4" w:rsidRDefault="007E06E4" w:rsidP="00A6468A">
            <w:pPr>
              <w:jc w:val="both"/>
              <w:rPr>
                <w:rFonts w:cs="Times New Roman"/>
                <w:szCs w:val="24"/>
              </w:rPr>
            </w:pPr>
            <w:r>
              <w:rPr>
                <w:rFonts w:cs="Times New Roman"/>
                <w:szCs w:val="24"/>
              </w:rPr>
              <w:t>409 East Palace Avenue, #2</w:t>
            </w:r>
          </w:p>
          <w:p w14:paraId="580C38A6" w14:textId="77777777" w:rsidR="007E06E4" w:rsidRDefault="007E06E4" w:rsidP="00A6468A">
            <w:pPr>
              <w:jc w:val="both"/>
              <w:rPr>
                <w:rFonts w:cs="Times New Roman"/>
                <w:szCs w:val="24"/>
              </w:rPr>
            </w:pPr>
            <w:r>
              <w:rPr>
                <w:rFonts w:cs="Times New Roman"/>
                <w:szCs w:val="24"/>
              </w:rPr>
              <w:t>Santa Fe, New Mexico 87501</w:t>
            </w:r>
          </w:p>
          <w:p w14:paraId="67E60A6D" w14:textId="77777777" w:rsidR="007E06E4" w:rsidRDefault="007E06E4" w:rsidP="00A6468A">
            <w:pPr>
              <w:jc w:val="both"/>
              <w:rPr>
                <w:rFonts w:cs="Times New Roman"/>
                <w:szCs w:val="24"/>
              </w:rPr>
            </w:pPr>
            <w:r w:rsidRPr="002A1C63">
              <w:rPr>
                <w:rFonts w:cs="Times New Roman"/>
                <w:szCs w:val="24"/>
              </w:rPr>
              <w:t>fox@westernlaw.org</w:t>
            </w:r>
          </w:p>
          <w:p w14:paraId="7F2AD46E" w14:textId="77777777" w:rsidR="007E06E4" w:rsidRDefault="007E06E4" w:rsidP="00A6468A">
            <w:pPr>
              <w:jc w:val="both"/>
              <w:rPr>
                <w:rFonts w:cs="Times New Roman"/>
                <w:i/>
                <w:iCs/>
                <w:szCs w:val="24"/>
              </w:rPr>
            </w:pPr>
          </w:p>
          <w:p w14:paraId="29248230" w14:textId="77777777" w:rsidR="007E06E4" w:rsidRDefault="007E06E4" w:rsidP="00A6468A">
            <w:pPr>
              <w:jc w:val="both"/>
              <w:rPr>
                <w:rFonts w:cs="Times New Roman"/>
                <w:szCs w:val="24"/>
              </w:rPr>
            </w:pPr>
            <w:r>
              <w:rPr>
                <w:rFonts w:cs="Times New Roman"/>
                <w:szCs w:val="24"/>
              </w:rPr>
              <w:t xml:space="preserve">David R. </w:t>
            </w:r>
            <w:proofErr w:type="spellStart"/>
            <w:r>
              <w:rPr>
                <w:rFonts w:cs="Times New Roman"/>
                <w:szCs w:val="24"/>
              </w:rPr>
              <w:t>Baake</w:t>
            </w:r>
            <w:proofErr w:type="spellEnd"/>
          </w:p>
          <w:p w14:paraId="78A33996" w14:textId="77777777" w:rsidR="007E06E4" w:rsidRDefault="007E06E4" w:rsidP="00A6468A">
            <w:pPr>
              <w:jc w:val="both"/>
              <w:rPr>
                <w:rFonts w:cs="Times New Roman"/>
                <w:szCs w:val="24"/>
              </w:rPr>
            </w:pPr>
            <w:proofErr w:type="spellStart"/>
            <w:r>
              <w:rPr>
                <w:rFonts w:cs="Times New Roman"/>
                <w:szCs w:val="24"/>
              </w:rPr>
              <w:t>Baake</w:t>
            </w:r>
            <w:proofErr w:type="spellEnd"/>
            <w:r>
              <w:rPr>
                <w:rFonts w:cs="Times New Roman"/>
                <w:szCs w:val="24"/>
              </w:rPr>
              <w:t xml:space="preserve"> Law LLC</w:t>
            </w:r>
          </w:p>
          <w:p w14:paraId="28E51AA4" w14:textId="77777777" w:rsidR="007E06E4" w:rsidRDefault="007E06E4" w:rsidP="00A6468A">
            <w:pPr>
              <w:jc w:val="both"/>
              <w:rPr>
                <w:rFonts w:cs="Times New Roman"/>
                <w:szCs w:val="24"/>
              </w:rPr>
            </w:pPr>
            <w:r>
              <w:rPr>
                <w:rFonts w:cs="Times New Roman"/>
                <w:szCs w:val="24"/>
              </w:rPr>
              <w:t>2131 North Main Street</w:t>
            </w:r>
          </w:p>
          <w:p w14:paraId="783BD5D3" w14:textId="77777777" w:rsidR="007E06E4" w:rsidRDefault="007E06E4" w:rsidP="00A6468A">
            <w:pPr>
              <w:jc w:val="both"/>
              <w:rPr>
                <w:rFonts w:cs="Times New Roman"/>
                <w:szCs w:val="24"/>
              </w:rPr>
            </w:pPr>
            <w:r>
              <w:rPr>
                <w:rFonts w:cs="Times New Roman"/>
                <w:szCs w:val="24"/>
              </w:rPr>
              <w:t>Las Cruces, New Mexico 88001</w:t>
            </w:r>
          </w:p>
          <w:p w14:paraId="2A86EE19" w14:textId="77777777" w:rsidR="007E06E4" w:rsidRPr="005F588A" w:rsidRDefault="007E06E4" w:rsidP="00A6468A">
            <w:pPr>
              <w:jc w:val="both"/>
              <w:rPr>
                <w:rFonts w:cs="Times New Roman"/>
                <w:szCs w:val="24"/>
              </w:rPr>
            </w:pPr>
            <w:r>
              <w:rPr>
                <w:rFonts w:cs="Times New Roman"/>
                <w:szCs w:val="24"/>
              </w:rPr>
              <w:t>david@baakelaw.com</w:t>
            </w:r>
          </w:p>
          <w:p w14:paraId="15690509" w14:textId="77777777" w:rsidR="007E06E4" w:rsidRDefault="007E06E4" w:rsidP="00A6468A">
            <w:pPr>
              <w:jc w:val="both"/>
              <w:rPr>
                <w:rFonts w:cs="Times New Roman"/>
                <w:i/>
                <w:iCs/>
                <w:szCs w:val="24"/>
              </w:rPr>
            </w:pPr>
            <w:r w:rsidRPr="005F588A">
              <w:rPr>
                <w:rFonts w:cs="Times New Roman"/>
                <w:i/>
                <w:iCs/>
                <w:szCs w:val="24"/>
              </w:rPr>
              <w:t xml:space="preserve">Counsel for Conservation Voters New Mexico, </w:t>
            </w:r>
            <w:proofErr w:type="spellStart"/>
            <w:r w:rsidRPr="005F588A">
              <w:rPr>
                <w:rFonts w:cs="Times New Roman"/>
                <w:i/>
                <w:iCs/>
                <w:szCs w:val="24"/>
              </w:rPr>
              <w:t>Diné</w:t>
            </w:r>
            <w:proofErr w:type="spellEnd"/>
            <w:r w:rsidRPr="005F588A">
              <w:rPr>
                <w:rFonts w:cs="Times New Roman"/>
                <w:i/>
                <w:iCs/>
                <w:szCs w:val="24"/>
              </w:rPr>
              <w:t xml:space="preserve"> C.A.R.E., Earthworks, Natural Resources Defense Council, San Juan Citizens Alliance, Sierra Club, and 350 New Mexico</w:t>
            </w:r>
          </w:p>
          <w:p w14:paraId="78F2D679" w14:textId="77777777" w:rsidR="007E06E4" w:rsidRDefault="007E06E4" w:rsidP="00A6468A">
            <w:pPr>
              <w:jc w:val="both"/>
              <w:rPr>
                <w:rFonts w:cs="Times New Roman"/>
                <w:i/>
                <w:iCs/>
                <w:szCs w:val="24"/>
              </w:rPr>
            </w:pPr>
          </w:p>
          <w:p w14:paraId="171AE69B" w14:textId="77777777" w:rsidR="007E06E4" w:rsidRDefault="007E06E4" w:rsidP="00A6468A">
            <w:pPr>
              <w:jc w:val="both"/>
              <w:rPr>
                <w:rFonts w:eastAsia="Times New Roman" w:cs="Times New Roman"/>
                <w:szCs w:val="24"/>
              </w:rPr>
            </w:pPr>
            <w:r>
              <w:rPr>
                <w:rFonts w:eastAsia="Times New Roman" w:cs="Times New Roman"/>
                <w:szCs w:val="24"/>
              </w:rPr>
              <w:t>Christopher J. Neumann</w:t>
            </w:r>
          </w:p>
          <w:p w14:paraId="7E0D8B84" w14:textId="77777777" w:rsidR="007E06E4" w:rsidRDefault="007E06E4" w:rsidP="00A6468A">
            <w:pPr>
              <w:jc w:val="both"/>
              <w:rPr>
                <w:rFonts w:eastAsia="Times New Roman" w:cs="Times New Roman"/>
                <w:szCs w:val="24"/>
              </w:rPr>
            </w:pPr>
            <w:r>
              <w:rPr>
                <w:rFonts w:eastAsia="Times New Roman" w:cs="Times New Roman"/>
                <w:szCs w:val="24"/>
              </w:rPr>
              <w:t>Gregory R. Tan</w:t>
            </w:r>
          </w:p>
          <w:p w14:paraId="68AE4488" w14:textId="77777777" w:rsidR="007E06E4" w:rsidRDefault="007E06E4" w:rsidP="00A6468A">
            <w:pPr>
              <w:jc w:val="both"/>
              <w:rPr>
                <w:rFonts w:eastAsia="Times New Roman" w:cs="Times New Roman"/>
                <w:szCs w:val="24"/>
              </w:rPr>
            </w:pPr>
            <w:r>
              <w:rPr>
                <w:rFonts w:eastAsia="Times New Roman" w:cs="Times New Roman"/>
                <w:szCs w:val="24"/>
              </w:rPr>
              <w:t xml:space="preserve">Casey </w:t>
            </w:r>
            <w:proofErr w:type="spellStart"/>
            <w:r>
              <w:rPr>
                <w:rFonts w:eastAsia="Times New Roman" w:cs="Times New Roman"/>
                <w:szCs w:val="24"/>
              </w:rPr>
              <w:t>Shpall</w:t>
            </w:r>
            <w:proofErr w:type="spellEnd"/>
          </w:p>
          <w:p w14:paraId="0087FFBC" w14:textId="77777777" w:rsidR="007E06E4" w:rsidRDefault="007E06E4" w:rsidP="00A6468A">
            <w:pPr>
              <w:jc w:val="both"/>
              <w:rPr>
                <w:rFonts w:cs="Times New Roman"/>
                <w:szCs w:val="24"/>
              </w:rPr>
            </w:pPr>
            <w:proofErr w:type="spellStart"/>
            <w:r>
              <w:rPr>
                <w:rFonts w:cs="Times New Roman"/>
                <w:szCs w:val="24"/>
              </w:rPr>
              <w:t>Greennberg</w:t>
            </w:r>
            <w:proofErr w:type="spellEnd"/>
            <w:r>
              <w:rPr>
                <w:rFonts w:cs="Times New Roman"/>
                <w:szCs w:val="24"/>
              </w:rPr>
              <w:t xml:space="preserve"> Traurig, LLP</w:t>
            </w:r>
          </w:p>
          <w:p w14:paraId="7C6A791A" w14:textId="77777777" w:rsidR="007E06E4" w:rsidRDefault="007E06E4" w:rsidP="00A6468A">
            <w:pPr>
              <w:jc w:val="both"/>
              <w:rPr>
                <w:rFonts w:cs="Times New Roman"/>
                <w:szCs w:val="24"/>
              </w:rPr>
            </w:pPr>
            <w:r>
              <w:rPr>
                <w:rFonts w:cs="Times New Roman"/>
                <w:szCs w:val="24"/>
              </w:rPr>
              <w:t>1144 Fifteenth Street, Suite 3300</w:t>
            </w:r>
          </w:p>
          <w:p w14:paraId="1BB4E84A" w14:textId="77777777" w:rsidR="007E06E4" w:rsidRDefault="007E06E4" w:rsidP="00A6468A">
            <w:pPr>
              <w:jc w:val="both"/>
              <w:rPr>
                <w:rFonts w:cs="Times New Roman"/>
                <w:szCs w:val="24"/>
              </w:rPr>
            </w:pPr>
            <w:r>
              <w:rPr>
                <w:rFonts w:cs="Times New Roman"/>
                <w:szCs w:val="24"/>
              </w:rPr>
              <w:t>Denver, CO 80202</w:t>
            </w:r>
          </w:p>
          <w:p w14:paraId="0640180F" w14:textId="77777777" w:rsidR="007E06E4" w:rsidRDefault="007E06E4" w:rsidP="00A6468A">
            <w:pPr>
              <w:jc w:val="both"/>
              <w:rPr>
                <w:rFonts w:cs="Times New Roman"/>
                <w:szCs w:val="24"/>
              </w:rPr>
            </w:pPr>
            <w:r w:rsidRPr="00462D0D">
              <w:rPr>
                <w:rFonts w:cs="Times New Roman"/>
                <w:szCs w:val="24"/>
              </w:rPr>
              <w:t>neumannc@gtlaw.com</w:t>
            </w:r>
          </w:p>
          <w:p w14:paraId="63E79B43" w14:textId="77777777" w:rsidR="007E06E4" w:rsidRDefault="007E06E4" w:rsidP="00A6468A">
            <w:pPr>
              <w:jc w:val="both"/>
              <w:rPr>
                <w:rFonts w:cs="Times New Roman"/>
                <w:szCs w:val="24"/>
              </w:rPr>
            </w:pPr>
            <w:r w:rsidRPr="00462D0D">
              <w:rPr>
                <w:rFonts w:cs="Times New Roman"/>
                <w:szCs w:val="24"/>
              </w:rPr>
              <w:t>tangr@gtlaw.com</w:t>
            </w:r>
          </w:p>
          <w:p w14:paraId="473C52CC" w14:textId="77777777" w:rsidR="007E06E4" w:rsidRDefault="007E06E4" w:rsidP="00A6468A">
            <w:pPr>
              <w:jc w:val="both"/>
              <w:rPr>
                <w:rFonts w:cs="Times New Roman"/>
                <w:szCs w:val="24"/>
              </w:rPr>
            </w:pPr>
            <w:r>
              <w:rPr>
                <w:rFonts w:cs="Times New Roman"/>
                <w:szCs w:val="24"/>
              </w:rPr>
              <w:lastRenderedPageBreak/>
              <w:t>shpallc@gtlaw.com</w:t>
            </w:r>
          </w:p>
          <w:p w14:paraId="704146CE" w14:textId="77777777" w:rsidR="007E06E4" w:rsidRDefault="007E06E4" w:rsidP="00A6468A">
            <w:pPr>
              <w:jc w:val="both"/>
              <w:rPr>
                <w:rFonts w:cs="Times New Roman"/>
                <w:i/>
                <w:iCs/>
                <w:szCs w:val="24"/>
              </w:rPr>
            </w:pPr>
            <w:r w:rsidRPr="00F70CDE">
              <w:rPr>
                <w:rFonts w:cs="Times New Roman"/>
                <w:i/>
                <w:iCs/>
                <w:szCs w:val="24"/>
              </w:rPr>
              <w:t xml:space="preserve">Counsel for NGL Energy Partners LP, Solaris Water Midstream, Owl </w:t>
            </w:r>
            <w:proofErr w:type="spellStart"/>
            <w:r w:rsidRPr="00F70CDE">
              <w:rPr>
                <w:rFonts w:cs="Times New Roman"/>
                <w:i/>
                <w:iCs/>
                <w:szCs w:val="24"/>
              </w:rPr>
              <w:t>Swd</w:t>
            </w:r>
            <w:proofErr w:type="spellEnd"/>
            <w:r w:rsidRPr="00F70CDE">
              <w:rPr>
                <w:rFonts w:cs="Times New Roman"/>
                <w:i/>
                <w:iCs/>
                <w:szCs w:val="24"/>
              </w:rPr>
              <w:t xml:space="preserve"> Operating LLC, and Goodnight Midstream, LLC</w:t>
            </w:r>
          </w:p>
          <w:p w14:paraId="13463FDB" w14:textId="77777777" w:rsidR="007E06E4" w:rsidRDefault="007E06E4" w:rsidP="00A6468A">
            <w:pPr>
              <w:jc w:val="both"/>
              <w:rPr>
                <w:rFonts w:cs="Times New Roman"/>
                <w:i/>
                <w:iCs/>
                <w:szCs w:val="24"/>
              </w:rPr>
            </w:pPr>
          </w:p>
          <w:p w14:paraId="090C6125" w14:textId="77777777" w:rsidR="007E06E4" w:rsidRDefault="007E06E4" w:rsidP="00A6468A">
            <w:pPr>
              <w:jc w:val="both"/>
              <w:rPr>
                <w:rFonts w:cs="Times New Roman"/>
                <w:szCs w:val="24"/>
              </w:rPr>
            </w:pPr>
            <w:r>
              <w:rPr>
                <w:rFonts w:cs="Times New Roman"/>
                <w:szCs w:val="24"/>
              </w:rPr>
              <w:t>Matthias L. Sayer</w:t>
            </w:r>
          </w:p>
          <w:p w14:paraId="3AF77ED7" w14:textId="77777777" w:rsidR="007E06E4" w:rsidRDefault="007E06E4" w:rsidP="00A6468A">
            <w:pPr>
              <w:jc w:val="both"/>
              <w:rPr>
                <w:rFonts w:cs="Times New Roman"/>
                <w:szCs w:val="24"/>
              </w:rPr>
            </w:pPr>
            <w:r>
              <w:rPr>
                <w:rFonts w:cs="Times New Roman"/>
                <w:szCs w:val="24"/>
              </w:rPr>
              <w:t>NGL Energy Partners LP</w:t>
            </w:r>
          </w:p>
          <w:p w14:paraId="43C9D300" w14:textId="77777777" w:rsidR="007E06E4" w:rsidRDefault="007E06E4" w:rsidP="00A6468A">
            <w:pPr>
              <w:jc w:val="both"/>
              <w:rPr>
                <w:rFonts w:cs="Times New Roman"/>
                <w:szCs w:val="24"/>
              </w:rPr>
            </w:pPr>
            <w:r>
              <w:rPr>
                <w:rFonts w:cs="Times New Roman"/>
                <w:szCs w:val="24"/>
              </w:rPr>
              <w:t>125 Lincoln Ave, Suite 222</w:t>
            </w:r>
          </w:p>
          <w:p w14:paraId="30B0791F" w14:textId="77777777" w:rsidR="007E06E4" w:rsidRDefault="007E06E4" w:rsidP="00A6468A">
            <w:pPr>
              <w:jc w:val="both"/>
              <w:rPr>
                <w:rFonts w:cs="Times New Roman"/>
                <w:szCs w:val="24"/>
              </w:rPr>
            </w:pPr>
            <w:r>
              <w:rPr>
                <w:rFonts w:cs="Times New Roman"/>
                <w:szCs w:val="24"/>
              </w:rPr>
              <w:t>Santa Fe, NM 87501</w:t>
            </w:r>
          </w:p>
          <w:p w14:paraId="7D237718" w14:textId="77777777" w:rsidR="007E06E4" w:rsidRDefault="007E06E4" w:rsidP="00A6468A">
            <w:pPr>
              <w:jc w:val="both"/>
              <w:rPr>
                <w:rFonts w:cs="Times New Roman"/>
                <w:szCs w:val="24"/>
              </w:rPr>
            </w:pPr>
            <w:r>
              <w:rPr>
                <w:rFonts w:cs="Times New Roman"/>
                <w:szCs w:val="24"/>
              </w:rPr>
              <w:t>Matthias.sayer@nglep.com</w:t>
            </w:r>
          </w:p>
          <w:p w14:paraId="549CD5F1" w14:textId="77777777" w:rsidR="007E06E4" w:rsidRDefault="007E06E4" w:rsidP="00A6468A">
            <w:pPr>
              <w:jc w:val="both"/>
              <w:rPr>
                <w:rFonts w:cs="Times New Roman"/>
                <w:i/>
                <w:iCs/>
                <w:szCs w:val="24"/>
              </w:rPr>
            </w:pPr>
            <w:r>
              <w:rPr>
                <w:rFonts w:cs="Times New Roman"/>
                <w:i/>
                <w:iCs/>
                <w:szCs w:val="24"/>
              </w:rPr>
              <w:t>Legal Counsel for NGL Energy Partners, LP</w:t>
            </w:r>
          </w:p>
          <w:p w14:paraId="1FC87311" w14:textId="77777777" w:rsidR="007E06E4" w:rsidRDefault="007E06E4" w:rsidP="00A6468A">
            <w:pPr>
              <w:jc w:val="both"/>
              <w:rPr>
                <w:rFonts w:cs="Times New Roman"/>
                <w:i/>
                <w:iCs/>
                <w:szCs w:val="24"/>
              </w:rPr>
            </w:pPr>
          </w:p>
          <w:p w14:paraId="67F317F5" w14:textId="77777777" w:rsidR="007E06E4" w:rsidRDefault="007E06E4" w:rsidP="00A6468A">
            <w:pPr>
              <w:jc w:val="both"/>
              <w:rPr>
                <w:rFonts w:cs="Times New Roman"/>
                <w:szCs w:val="24"/>
              </w:rPr>
            </w:pPr>
            <w:r>
              <w:rPr>
                <w:rFonts w:cs="Times New Roman"/>
                <w:szCs w:val="24"/>
              </w:rPr>
              <w:t>Christopher L. Colclasure</w:t>
            </w:r>
          </w:p>
          <w:p w14:paraId="73EB0876" w14:textId="77777777" w:rsidR="007E06E4" w:rsidRDefault="007E06E4" w:rsidP="00A6468A">
            <w:pPr>
              <w:jc w:val="both"/>
              <w:rPr>
                <w:rFonts w:cs="Times New Roman"/>
                <w:szCs w:val="24"/>
              </w:rPr>
            </w:pPr>
            <w:r>
              <w:rPr>
                <w:rFonts w:cs="Times New Roman"/>
                <w:szCs w:val="24"/>
              </w:rPr>
              <w:t>Beatty &amp; Wozniak, P.C.</w:t>
            </w:r>
          </w:p>
          <w:p w14:paraId="1AB09DBE" w14:textId="77777777" w:rsidR="007E06E4" w:rsidRDefault="007E06E4" w:rsidP="00A6468A">
            <w:pPr>
              <w:jc w:val="both"/>
              <w:rPr>
                <w:rFonts w:cs="Times New Roman"/>
                <w:szCs w:val="24"/>
              </w:rPr>
            </w:pPr>
            <w:r>
              <w:rPr>
                <w:rFonts w:cs="Times New Roman"/>
                <w:szCs w:val="24"/>
              </w:rPr>
              <w:t>216 16</w:t>
            </w:r>
            <w:r w:rsidRPr="00D21DB1">
              <w:rPr>
                <w:rFonts w:cs="Times New Roman"/>
                <w:szCs w:val="24"/>
                <w:vertAlign w:val="superscript"/>
              </w:rPr>
              <w:t>th</w:t>
            </w:r>
            <w:r>
              <w:rPr>
                <w:rFonts w:cs="Times New Roman"/>
                <w:szCs w:val="24"/>
              </w:rPr>
              <w:t xml:space="preserve"> Street, Suite 1100</w:t>
            </w:r>
          </w:p>
          <w:p w14:paraId="04A033B4" w14:textId="77777777" w:rsidR="007E06E4" w:rsidRDefault="007E06E4" w:rsidP="00A6468A">
            <w:pPr>
              <w:jc w:val="both"/>
              <w:rPr>
                <w:rFonts w:cs="Times New Roman"/>
                <w:szCs w:val="24"/>
              </w:rPr>
            </w:pPr>
            <w:r>
              <w:rPr>
                <w:rFonts w:cs="Times New Roman"/>
                <w:szCs w:val="24"/>
              </w:rPr>
              <w:t>Denver, CO 80202</w:t>
            </w:r>
          </w:p>
          <w:p w14:paraId="10EC4447" w14:textId="77777777" w:rsidR="007E06E4" w:rsidRDefault="007E06E4" w:rsidP="00A6468A">
            <w:pPr>
              <w:jc w:val="both"/>
              <w:rPr>
                <w:rFonts w:cs="Times New Roman"/>
                <w:szCs w:val="24"/>
              </w:rPr>
            </w:pPr>
            <w:r>
              <w:rPr>
                <w:rFonts w:cs="Times New Roman"/>
                <w:szCs w:val="24"/>
              </w:rPr>
              <w:t>ccolclasure@bwenergylaw.com</w:t>
            </w:r>
          </w:p>
          <w:p w14:paraId="530420FF" w14:textId="77777777" w:rsidR="007E06E4" w:rsidRDefault="007E06E4" w:rsidP="00A6468A">
            <w:pPr>
              <w:jc w:val="both"/>
              <w:rPr>
                <w:rFonts w:cs="Times New Roman"/>
                <w:i/>
                <w:iCs/>
                <w:szCs w:val="24"/>
              </w:rPr>
            </w:pPr>
            <w:r w:rsidRPr="00D21DB1">
              <w:rPr>
                <w:rFonts w:cs="Times New Roman"/>
                <w:i/>
                <w:iCs/>
                <w:szCs w:val="24"/>
              </w:rPr>
              <w:t>Counsel for 3 Bear Delaware Operating – NM, LLC</w:t>
            </w:r>
          </w:p>
          <w:p w14:paraId="6072C23B" w14:textId="77777777" w:rsidR="007E06E4" w:rsidRDefault="007E06E4" w:rsidP="00A6468A">
            <w:pPr>
              <w:jc w:val="both"/>
              <w:rPr>
                <w:rFonts w:cs="Times New Roman"/>
                <w:i/>
                <w:iCs/>
                <w:szCs w:val="24"/>
              </w:rPr>
            </w:pPr>
          </w:p>
          <w:p w14:paraId="2D924B58" w14:textId="77777777" w:rsidR="007E06E4" w:rsidRDefault="007E06E4" w:rsidP="00A6468A">
            <w:pPr>
              <w:jc w:val="both"/>
              <w:rPr>
                <w:rFonts w:cs="Times New Roman"/>
                <w:szCs w:val="24"/>
              </w:rPr>
            </w:pPr>
            <w:r>
              <w:rPr>
                <w:rFonts w:cs="Times New Roman"/>
                <w:szCs w:val="24"/>
              </w:rPr>
              <w:t>Leslie Witherspoon, Manager, Environmental Programs</w:t>
            </w:r>
          </w:p>
          <w:p w14:paraId="606136C0" w14:textId="77777777" w:rsidR="007E06E4" w:rsidRDefault="007E06E4" w:rsidP="00A6468A">
            <w:pPr>
              <w:jc w:val="both"/>
              <w:rPr>
                <w:rFonts w:cs="Times New Roman"/>
                <w:szCs w:val="24"/>
              </w:rPr>
            </w:pPr>
            <w:r>
              <w:rPr>
                <w:rFonts w:cs="Times New Roman"/>
                <w:szCs w:val="24"/>
              </w:rPr>
              <w:t>9330 Sky Park Court</w:t>
            </w:r>
          </w:p>
          <w:p w14:paraId="0C7E3E0B" w14:textId="77777777" w:rsidR="007E06E4" w:rsidRDefault="007E06E4" w:rsidP="00A6468A">
            <w:pPr>
              <w:jc w:val="both"/>
              <w:rPr>
                <w:rFonts w:cs="Times New Roman"/>
                <w:szCs w:val="24"/>
              </w:rPr>
            </w:pPr>
            <w:proofErr w:type="gramStart"/>
            <w:r>
              <w:rPr>
                <w:rFonts w:cs="Times New Roman"/>
                <w:szCs w:val="24"/>
              </w:rPr>
              <w:t>MZ:SP</w:t>
            </w:r>
            <w:proofErr w:type="gramEnd"/>
            <w:r>
              <w:rPr>
                <w:rFonts w:cs="Times New Roman"/>
                <w:szCs w:val="24"/>
              </w:rPr>
              <w:t>3-Q</w:t>
            </w:r>
          </w:p>
          <w:p w14:paraId="621EDAC0" w14:textId="77777777" w:rsidR="007E06E4" w:rsidRDefault="007E06E4" w:rsidP="00A6468A">
            <w:pPr>
              <w:jc w:val="both"/>
              <w:rPr>
                <w:rFonts w:cs="Times New Roman"/>
                <w:szCs w:val="24"/>
              </w:rPr>
            </w:pPr>
            <w:r>
              <w:rPr>
                <w:rFonts w:cs="Times New Roman"/>
                <w:szCs w:val="24"/>
              </w:rPr>
              <w:t>San Diego, CA 92123-5398</w:t>
            </w:r>
          </w:p>
          <w:p w14:paraId="54BADEC7" w14:textId="77777777" w:rsidR="007E06E4" w:rsidRDefault="007E06E4" w:rsidP="00A6468A">
            <w:pPr>
              <w:jc w:val="both"/>
              <w:rPr>
                <w:rFonts w:cs="Times New Roman"/>
                <w:szCs w:val="24"/>
              </w:rPr>
            </w:pPr>
            <w:r>
              <w:rPr>
                <w:rFonts w:cs="Times New Roman"/>
                <w:szCs w:val="24"/>
              </w:rPr>
              <w:t>Witherspoon_leslie_h@solarturbines.com</w:t>
            </w:r>
          </w:p>
          <w:p w14:paraId="200148C5" w14:textId="77777777" w:rsidR="007E06E4" w:rsidRPr="00D21DB1" w:rsidRDefault="007E06E4" w:rsidP="00A6468A">
            <w:pPr>
              <w:jc w:val="both"/>
              <w:rPr>
                <w:rFonts w:cs="Times New Roman"/>
                <w:i/>
                <w:iCs/>
                <w:szCs w:val="24"/>
              </w:rPr>
            </w:pPr>
            <w:r>
              <w:rPr>
                <w:rFonts w:cs="Times New Roman"/>
                <w:i/>
                <w:iCs/>
                <w:szCs w:val="24"/>
              </w:rPr>
              <w:t>Solar Turbines, Inc.</w:t>
            </w:r>
          </w:p>
          <w:p w14:paraId="6C516430" w14:textId="77777777" w:rsidR="007E06E4" w:rsidRDefault="007E06E4" w:rsidP="00A6468A">
            <w:pPr>
              <w:jc w:val="both"/>
              <w:rPr>
                <w:rFonts w:cs="Times New Roman"/>
                <w:i/>
                <w:iCs/>
                <w:szCs w:val="24"/>
              </w:rPr>
            </w:pPr>
          </w:p>
          <w:p w14:paraId="097D6F3D" w14:textId="77777777" w:rsidR="007E06E4" w:rsidRDefault="007E06E4" w:rsidP="00A6468A">
            <w:pPr>
              <w:jc w:val="both"/>
              <w:rPr>
                <w:rFonts w:cs="Times New Roman"/>
                <w:szCs w:val="24"/>
              </w:rPr>
            </w:pPr>
            <w:r>
              <w:rPr>
                <w:rFonts w:cs="Times New Roman"/>
                <w:szCs w:val="24"/>
              </w:rPr>
              <w:t>Louis W. Rose</w:t>
            </w:r>
          </w:p>
          <w:p w14:paraId="2C213CEC" w14:textId="77777777" w:rsidR="007E06E4" w:rsidRDefault="007E06E4" w:rsidP="00A6468A">
            <w:pPr>
              <w:jc w:val="both"/>
              <w:rPr>
                <w:rFonts w:cs="Times New Roman"/>
                <w:szCs w:val="24"/>
              </w:rPr>
            </w:pPr>
            <w:r>
              <w:rPr>
                <w:rFonts w:cs="Times New Roman"/>
                <w:szCs w:val="24"/>
              </w:rPr>
              <w:t>Kari Olson</w:t>
            </w:r>
          </w:p>
          <w:p w14:paraId="122AE156" w14:textId="77777777" w:rsidR="007E06E4" w:rsidRDefault="007E06E4" w:rsidP="00A6468A">
            <w:pPr>
              <w:jc w:val="both"/>
              <w:rPr>
                <w:rFonts w:cs="Times New Roman"/>
                <w:szCs w:val="24"/>
              </w:rPr>
            </w:pPr>
            <w:r>
              <w:rPr>
                <w:rFonts w:cs="Times New Roman"/>
                <w:szCs w:val="24"/>
              </w:rPr>
              <w:t>Ricardo S. Gonzales</w:t>
            </w:r>
          </w:p>
          <w:p w14:paraId="12134B2E" w14:textId="77777777" w:rsidR="007E06E4" w:rsidRDefault="007E06E4" w:rsidP="00A6468A">
            <w:pPr>
              <w:jc w:val="both"/>
              <w:rPr>
                <w:rFonts w:cs="Times New Roman"/>
                <w:szCs w:val="24"/>
              </w:rPr>
            </w:pPr>
            <w:r>
              <w:rPr>
                <w:rFonts w:cs="Times New Roman"/>
                <w:szCs w:val="24"/>
              </w:rPr>
              <w:t>Montgomery &amp; Andrews, PA</w:t>
            </w:r>
          </w:p>
          <w:p w14:paraId="0937DA43" w14:textId="77777777" w:rsidR="007E06E4" w:rsidRDefault="007E06E4" w:rsidP="00A6468A">
            <w:pPr>
              <w:jc w:val="both"/>
              <w:rPr>
                <w:rFonts w:cs="Times New Roman"/>
                <w:szCs w:val="24"/>
              </w:rPr>
            </w:pPr>
            <w:r>
              <w:rPr>
                <w:rFonts w:cs="Times New Roman"/>
                <w:szCs w:val="24"/>
              </w:rPr>
              <w:t>P.O. Box 2307</w:t>
            </w:r>
          </w:p>
          <w:p w14:paraId="3EBCF8CF" w14:textId="77777777" w:rsidR="007E06E4" w:rsidRDefault="007E06E4" w:rsidP="00A6468A">
            <w:pPr>
              <w:jc w:val="both"/>
              <w:rPr>
                <w:rFonts w:cs="Times New Roman"/>
                <w:szCs w:val="24"/>
              </w:rPr>
            </w:pPr>
            <w:r>
              <w:rPr>
                <w:rFonts w:cs="Times New Roman"/>
                <w:szCs w:val="24"/>
              </w:rPr>
              <w:t>Santa Fe, NM 87504</w:t>
            </w:r>
          </w:p>
          <w:p w14:paraId="72A1E713" w14:textId="77777777" w:rsidR="007E06E4" w:rsidRDefault="007E06E4" w:rsidP="00A6468A">
            <w:pPr>
              <w:jc w:val="both"/>
              <w:rPr>
                <w:rFonts w:cs="Times New Roman"/>
                <w:szCs w:val="24"/>
              </w:rPr>
            </w:pPr>
            <w:r>
              <w:rPr>
                <w:rFonts w:cs="Times New Roman"/>
                <w:szCs w:val="24"/>
              </w:rPr>
              <w:t>lrose@montand.com</w:t>
            </w:r>
          </w:p>
          <w:p w14:paraId="482AC7DA" w14:textId="77777777" w:rsidR="007E06E4" w:rsidRDefault="007E06E4" w:rsidP="00A6468A">
            <w:pPr>
              <w:jc w:val="both"/>
              <w:rPr>
                <w:rFonts w:cs="Times New Roman"/>
                <w:szCs w:val="24"/>
              </w:rPr>
            </w:pPr>
            <w:r>
              <w:rPr>
                <w:rFonts w:cs="Times New Roman"/>
                <w:szCs w:val="24"/>
              </w:rPr>
              <w:t>kolson@montand.com</w:t>
            </w:r>
          </w:p>
          <w:p w14:paraId="2C41CB17" w14:textId="77777777" w:rsidR="007E06E4" w:rsidRDefault="007E06E4" w:rsidP="00A6468A">
            <w:pPr>
              <w:jc w:val="both"/>
              <w:rPr>
                <w:rFonts w:cs="Times New Roman"/>
                <w:szCs w:val="24"/>
              </w:rPr>
            </w:pPr>
            <w:r>
              <w:rPr>
                <w:rFonts w:cs="Times New Roman"/>
                <w:szCs w:val="24"/>
              </w:rPr>
              <w:t>rgonzales@montand.com</w:t>
            </w:r>
          </w:p>
          <w:p w14:paraId="73190379" w14:textId="77777777" w:rsidR="007E06E4" w:rsidRPr="00F70CDE" w:rsidRDefault="007E06E4" w:rsidP="00A6468A">
            <w:pPr>
              <w:jc w:val="both"/>
              <w:rPr>
                <w:rFonts w:cs="Times New Roman"/>
                <w:i/>
                <w:iCs/>
                <w:szCs w:val="24"/>
              </w:rPr>
            </w:pPr>
            <w:r>
              <w:rPr>
                <w:rFonts w:cs="Times New Roman"/>
                <w:i/>
                <w:iCs/>
                <w:szCs w:val="24"/>
              </w:rPr>
              <w:t>Legal Counsel for Independent Petroleum Association of New Mexico</w:t>
            </w:r>
          </w:p>
          <w:p w14:paraId="21A73C29" w14:textId="77777777" w:rsidR="007E06E4" w:rsidRDefault="007E06E4" w:rsidP="00A6468A">
            <w:pPr>
              <w:jc w:val="both"/>
              <w:rPr>
                <w:rFonts w:cs="Times New Roman"/>
                <w:szCs w:val="24"/>
              </w:rPr>
            </w:pPr>
          </w:p>
          <w:p w14:paraId="27BBA678" w14:textId="77777777" w:rsidR="007E06E4" w:rsidRDefault="007E06E4" w:rsidP="00A6468A">
            <w:pPr>
              <w:jc w:val="both"/>
              <w:rPr>
                <w:rFonts w:cs="Times New Roman"/>
                <w:szCs w:val="24"/>
              </w:rPr>
            </w:pPr>
            <w:r>
              <w:rPr>
                <w:rFonts w:cs="Times New Roman"/>
                <w:szCs w:val="24"/>
              </w:rPr>
              <w:t>Daniel Jaynes</w:t>
            </w:r>
          </w:p>
          <w:p w14:paraId="64EE1E8F" w14:textId="77777777" w:rsidR="007E06E4" w:rsidRDefault="007E06E4" w:rsidP="00A6468A">
            <w:pPr>
              <w:jc w:val="both"/>
              <w:rPr>
                <w:rFonts w:cs="Times New Roman"/>
                <w:szCs w:val="24"/>
              </w:rPr>
            </w:pPr>
            <w:proofErr w:type="spellStart"/>
            <w:r>
              <w:rPr>
                <w:rFonts w:cs="Times New Roman"/>
                <w:szCs w:val="24"/>
              </w:rPr>
              <w:t>Keifer</w:t>
            </w:r>
            <w:proofErr w:type="spellEnd"/>
            <w:r>
              <w:rPr>
                <w:rFonts w:cs="Times New Roman"/>
                <w:szCs w:val="24"/>
              </w:rPr>
              <w:t xml:space="preserve"> Johnson</w:t>
            </w:r>
          </w:p>
          <w:p w14:paraId="1E175368" w14:textId="77777777" w:rsidR="007E06E4" w:rsidRDefault="007E06E4" w:rsidP="00A6468A">
            <w:pPr>
              <w:jc w:val="both"/>
              <w:rPr>
                <w:rFonts w:cs="Times New Roman"/>
                <w:szCs w:val="24"/>
              </w:rPr>
            </w:pPr>
            <w:r>
              <w:rPr>
                <w:rFonts w:cs="Times New Roman"/>
                <w:szCs w:val="24"/>
              </w:rPr>
              <w:t>Gabriel Pacyniak</w:t>
            </w:r>
          </w:p>
          <w:p w14:paraId="7FE76F21" w14:textId="77777777" w:rsidR="007E06E4" w:rsidRDefault="007E06E4" w:rsidP="00A6468A">
            <w:pPr>
              <w:jc w:val="both"/>
              <w:rPr>
                <w:rFonts w:cs="Times New Roman"/>
                <w:szCs w:val="24"/>
              </w:rPr>
            </w:pPr>
            <w:r>
              <w:rPr>
                <w:rFonts w:cs="Times New Roman"/>
                <w:szCs w:val="24"/>
              </w:rPr>
              <w:t>Natural Resources &amp; Environmental Law Clinic, University of New Mexico</w:t>
            </w:r>
          </w:p>
          <w:p w14:paraId="6C9F4796" w14:textId="77777777" w:rsidR="007E06E4" w:rsidRDefault="007E06E4" w:rsidP="00A6468A">
            <w:pPr>
              <w:jc w:val="both"/>
              <w:rPr>
                <w:rFonts w:cs="Times New Roman"/>
                <w:szCs w:val="24"/>
              </w:rPr>
            </w:pPr>
            <w:r>
              <w:rPr>
                <w:rFonts w:cs="Times New Roman"/>
                <w:szCs w:val="24"/>
              </w:rPr>
              <w:t>1117 Stanford Dr NE</w:t>
            </w:r>
          </w:p>
          <w:p w14:paraId="358A3669" w14:textId="77777777" w:rsidR="007E06E4" w:rsidRDefault="007E06E4" w:rsidP="00A6468A">
            <w:pPr>
              <w:jc w:val="both"/>
              <w:rPr>
                <w:rFonts w:cs="Times New Roman"/>
                <w:szCs w:val="24"/>
              </w:rPr>
            </w:pPr>
            <w:r>
              <w:rPr>
                <w:rFonts w:cs="Times New Roman"/>
                <w:szCs w:val="24"/>
              </w:rPr>
              <w:lastRenderedPageBreak/>
              <w:t>Albuquerque, New Mexico 87106</w:t>
            </w:r>
          </w:p>
          <w:p w14:paraId="125629CC" w14:textId="77777777" w:rsidR="007E06E4" w:rsidRDefault="007E06E4" w:rsidP="00A6468A">
            <w:pPr>
              <w:jc w:val="both"/>
              <w:rPr>
                <w:rFonts w:cs="Times New Roman"/>
                <w:szCs w:val="24"/>
              </w:rPr>
            </w:pPr>
            <w:r w:rsidRPr="0010018E">
              <w:rPr>
                <w:rFonts w:cs="Times New Roman"/>
                <w:szCs w:val="24"/>
              </w:rPr>
              <w:t>jaynesda@law.unm.edu</w:t>
            </w:r>
          </w:p>
          <w:p w14:paraId="0E8E2DCF" w14:textId="77777777" w:rsidR="007E06E4" w:rsidRDefault="007E06E4" w:rsidP="00A6468A">
            <w:pPr>
              <w:jc w:val="both"/>
              <w:rPr>
                <w:rFonts w:cs="Times New Roman"/>
                <w:szCs w:val="24"/>
              </w:rPr>
            </w:pPr>
            <w:r w:rsidRPr="0010018E">
              <w:rPr>
                <w:rFonts w:cs="Times New Roman"/>
                <w:szCs w:val="24"/>
              </w:rPr>
              <w:t>johnsoke@law.unm.edu</w:t>
            </w:r>
          </w:p>
          <w:p w14:paraId="7F802899" w14:textId="77777777" w:rsidR="007E06E4" w:rsidRDefault="007E06E4" w:rsidP="00A6468A">
            <w:pPr>
              <w:jc w:val="both"/>
              <w:rPr>
                <w:rFonts w:cs="Times New Roman"/>
                <w:szCs w:val="24"/>
              </w:rPr>
            </w:pPr>
            <w:r w:rsidRPr="0010018E">
              <w:rPr>
                <w:rFonts w:cs="Times New Roman"/>
                <w:szCs w:val="24"/>
              </w:rPr>
              <w:t>pacyniak@law.unm.edu</w:t>
            </w:r>
          </w:p>
          <w:p w14:paraId="72A283F1" w14:textId="77777777" w:rsidR="007E06E4" w:rsidRPr="0010018E" w:rsidRDefault="007E06E4" w:rsidP="00A6468A">
            <w:pPr>
              <w:jc w:val="both"/>
              <w:rPr>
                <w:rFonts w:cs="Times New Roman"/>
                <w:i/>
                <w:iCs/>
                <w:szCs w:val="24"/>
              </w:rPr>
            </w:pPr>
            <w:r>
              <w:rPr>
                <w:rFonts w:cs="Times New Roman"/>
                <w:i/>
                <w:iCs/>
                <w:szCs w:val="24"/>
              </w:rPr>
              <w:t xml:space="preserve">Legal Counsel for </w:t>
            </w:r>
            <w:r w:rsidRPr="0010018E">
              <w:rPr>
                <w:rFonts w:cs="Times New Roman"/>
                <w:i/>
                <w:iCs/>
                <w:szCs w:val="24"/>
              </w:rPr>
              <w:t>Center for Civic Policy and NAVA Education Project</w:t>
            </w:r>
          </w:p>
          <w:p w14:paraId="5FACB93F" w14:textId="77777777" w:rsidR="007E06E4" w:rsidRDefault="007E06E4" w:rsidP="00A6468A">
            <w:pPr>
              <w:jc w:val="both"/>
              <w:rPr>
                <w:rFonts w:cs="Times New Roman"/>
                <w:szCs w:val="24"/>
              </w:rPr>
            </w:pPr>
          </w:p>
          <w:p w14:paraId="004B9A1B" w14:textId="77777777" w:rsidR="007E06E4" w:rsidRDefault="007E06E4" w:rsidP="00A6468A">
            <w:pPr>
              <w:jc w:val="both"/>
              <w:rPr>
                <w:rFonts w:cs="Times New Roman"/>
                <w:szCs w:val="24"/>
              </w:rPr>
            </w:pPr>
            <w:r>
              <w:rPr>
                <w:rFonts w:cs="Times New Roman"/>
                <w:szCs w:val="24"/>
              </w:rPr>
              <w:t>Lisa Devore, Air Quality Specialist, Intermountain Region</w:t>
            </w:r>
          </w:p>
          <w:p w14:paraId="6F63A6B8" w14:textId="77777777" w:rsidR="007E06E4" w:rsidRDefault="007E06E4" w:rsidP="00A6468A">
            <w:pPr>
              <w:jc w:val="both"/>
              <w:rPr>
                <w:rFonts w:cs="Times New Roman"/>
                <w:szCs w:val="24"/>
              </w:rPr>
            </w:pPr>
            <w:r>
              <w:rPr>
                <w:rFonts w:cs="Times New Roman"/>
                <w:szCs w:val="24"/>
              </w:rPr>
              <w:t>John Vimont, Branch Chief, Air Resources Division</w:t>
            </w:r>
          </w:p>
          <w:p w14:paraId="5CFFC16D" w14:textId="77777777" w:rsidR="007E06E4" w:rsidRPr="00EC7535" w:rsidRDefault="007E06E4" w:rsidP="00A6468A">
            <w:pPr>
              <w:jc w:val="both"/>
              <w:rPr>
                <w:rFonts w:cs="Times New Roman"/>
                <w:i/>
                <w:iCs/>
                <w:szCs w:val="24"/>
              </w:rPr>
            </w:pPr>
            <w:r w:rsidRPr="00EC7535">
              <w:rPr>
                <w:rFonts w:cs="Times New Roman"/>
                <w:i/>
                <w:iCs/>
                <w:szCs w:val="24"/>
              </w:rPr>
              <w:t>National Park Service</w:t>
            </w:r>
          </w:p>
          <w:p w14:paraId="5AAC6011" w14:textId="77777777" w:rsidR="007E06E4" w:rsidRDefault="007E06E4" w:rsidP="00A6468A">
            <w:pPr>
              <w:jc w:val="both"/>
              <w:rPr>
                <w:rFonts w:cs="Times New Roman"/>
                <w:szCs w:val="24"/>
              </w:rPr>
            </w:pPr>
          </w:p>
          <w:p w14:paraId="21EE547A" w14:textId="77777777" w:rsidR="007E06E4" w:rsidRPr="00F70CDE" w:rsidRDefault="007E06E4" w:rsidP="00A6468A">
            <w:pPr>
              <w:jc w:val="both"/>
              <w:rPr>
                <w:rFonts w:cs="Times New Roman"/>
                <w:szCs w:val="24"/>
              </w:rPr>
            </w:pPr>
          </w:p>
        </w:tc>
      </w:tr>
      <w:tr w:rsidR="007E06E4" w:rsidRPr="00700D99" w14:paraId="53C9722E" w14:textId="77777777" w:rsidTr="00A6468A">
        <w:tc>
          <w:tcPr>
            <w:tcW w:w="4770" w:type="dxa"/>
          </w:tcPr>
          <w:p w14:paraId="57AC4EE9" w14:textId="77777777" w:rsidR="007E06E4" w:rsidRPr="00A8162B" w:rsidRDefault="007E06E4" w:rsidP="00A6468A">
            <w:pPr>
              <w:jc w:val="left"/>
              <w:rPr>
                <w:rFonts w:cs="Times New Roman"/>
                <w:szCs w:val="24"/>
              </w:rPr>
            </w:pPr>
          </w:p>
        </w:tc>
        <w:tc>
          <w:tcPr>
            <w:tcW w:w="4590" w:type="dxa"/>
          </w:tcPr>
          <w:p w14:paraId="085C30D1" w14:textId="77777777" w:rsidR="007E06E4" w:rsidRDefault="007E06E4" w:rsidP="00A6468A">
            <w:pPr>
              <w:jc w:val="both"/>
              <w:rPr>
                <w:rFonts w:cs="Times New Roman"/>
                <w:szCs w:val="24"/>
              </w:rPr>
            </w:pPr>
          </w:p>
        </w:tc>
      </w:tr>
    </w:tbl>
    <w:p w14:paraId="722E27A6" w14:textId="77777777" w:rsidR="007E06E4" w:rsidRPr="00776AD4" w:rsidRDefault="007E06E4" w:rsidP="007E06E4">
      <w:pPr>
        <w:rPr>
          <w:rFonts w:cs="Times New Roman"/>
          <w:szCs w:val="24"/>
        </w:rPr>
      </w:pPr>
    </w:p>
    <w:p w14:paraId="6FB3FC72" w14:textId="77777777" w:rsidR="007E06E4" w:rsidRDefault="007E06E4" w:rsidP="007E06E4">
      <w:pPr>
        <w:rPr>
          <w:rFonts w:cs="Times New Roman"/>
          <w:szCs w:val="24"/>
        </w:rPr>
      </w:pPr>
    </w:p>
    <w:p w14:paraId="66E8860A" w14:textId="77777777" w:rsidR="007E06E4" w:rsidRPr="00700D99" w:rsidRDefault="007E06E4" w:rsidP="007E06E4">
      <w:pPr>
        <w:rPr>
          <w:rFonts w:cs="Times New Roman"/>
          <w:szCs w:val="24"/>
        </w:rPr>
      </w:pPr>
    </w:p>
    <w:p w14:paraId="016B2BBE" w14:textId="77777777" w:rsidR="007E06E4" w:rsidRPr="00700D99" w:rsidRDefault="007E06E4" w:rsidP="007E06E4">
      <w:pPr>
        <w:rPr>
          <w:rFonts w:eastAsia="Times New Roman" w:cs="Times New Roman"/>
          <w:szCs w:val="24"/>
        </w:rPr>
      </w:pP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Pr>
          <w:rFonts w:eastAsia="Times New Roman" w:cs="Times New Roman"/>
          <w:szCs w:val="24"/>
        </w:rPr>
        <w:tab/>
      </w:r>
      <w:r w:rsidRPr="00700D99">
        <w:rPr>
          <w:rFonts w:eastAsia="Times New Roman" w:cs="Times New Roman"/>
          <w:szCs w:val="24"/>
        </w:rPr>
        <w:tab/>
      </w:r>
      <w:r>
        <w:rPr>
          <w:rFonts w:eastAsia="Times New Roman" w:cs="Times New Roman"/>
          <w:szCs w:val="24"/>
          <w:u w:val="single"/>
        </w:rPr>
        <w:t>/s/ Eric L. Hiser</w:t>
      </w:r>
      <w:r w:rsidRPr="00700D99">
        <w:rPr>
          <w:rFonts w:eastAsia="Times New Roman" w:cs="Times New Roman"/>
          <w:szCs w:val="24"/>
          <w:u w:val="single"/>
        </w:rPr>
        <w:tab/>
      </w:r>
      <w:r w:rsidRPr="00700D99">
        <w:rPr>
          <w:rFonts w:eastAsia="Times New Roman" w:cs="Times New Roman"/>
          <w:szCs w:val="24"/>
          <w:u w:val="single"/>
        </w:rPr>
        <w:tab/>
      </w:r>
      <w:r w:rsidRPr="00700D99">
        <w:rPr>
          <w:rFonts w:eastAsia="Times New Roman" w:cs="Times New Roman"/>
          <w:szCs w:val="24"/>
          <w:u w:val="single"/>
        </w:rPr>
        <w:tab/>
      </w:r>
    </w:p>
    <w:p w14:paraId="0779C00A" w14:textId="77777777" w:rsidR="007E06E4" w:rsidRDefault="007E06E4" w:rsidP="007E06E4">
      <w:pPr>
        <w:rPr>
          <w:rFonts w:eastAsia="Times New Roman" w:cs="Times New Roman"/>
          <w:szCs w:val="24"/>
        </w:rPr>
      </w:pP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sidRPr="00700D99">
        <w:rPr>
          <w:rFonts w:eastAsia="Times New Roman" w:cs="Times New Roman"/>
          <w:szCs w:val="24"/>
        </w:rPr>
        <w:tab/>
      </w:r>
      <w:r>
        <w:rPr>
          <w:rFonts w:eastAsia="Times New Roman" w:cs="Times New Roman"/>
          <w:szCs w:val="24"/>
        </w:rPr>
        <w:tab/>
        <w:t>Eric L. Hiser</w:t>
      </w:r>
    </w:p>
    <w:p w14:paraId="6755FCC6" w14:textId="64C8F2F5" w:rsidR="00325860" w:rsidRDefault="00325860" w:rsidP="00B02F67"/>
    <w:sectPr w:rsidR="00325860">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D577B" w14:textId="77777777" w:rsidR="004160D5" w:rsidRDefault="004160D5" w:rsidP="00B02F67">
      <w:pPr>
        <w:spacing w:after="0" w:line="240" w:lineRule="auto"/>
      </w:pPr>
      <w:r>
        <w:separator/>
      </w:r>
    </w:p>
  </w:endnote>
  <w:endnote w:type="continuationSeparator" w:id="0">
    <w:p w14:paraId="1B30B24E" w14:textId="77777777" w:rsidR="004160D5" w:rsidRDefault="004160D5" w:rsidP="00B02F67">
      <w:pPr>
        <w:spacing w:after="0" w:line="240" w:lineRule="auto"/>
      </w:pPr>
      <w:r>
        <w:continuationSeparator/>
      </w:r>
    </w:p>
  </w:endnote>
  <w:endnote w:type="continuationNotice" w:id="1">
    <w:p w14:paraId="2E9E9C5F" w14:textId="77777777" w:rsidR="004160D5" w:rsidRDefault="004160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E03C4" w14:textId="77777777" w:rsidR="00BA3E1D" w:rsidRDefault="00BA3E1D" w:rsidP="009D2C7B">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721B3" w14:textId="77777777" w:rsidR="004160D5" w:rsidRDefault="004160D5" w:rsidP="00B02F67">
      <w:pPr>
        <w:spacing w:after="0" w:line="240" w:lineRule="auto"/>
      </w:pPr>
      <w:r>
        <w:separator/>
      </w:r>
    </w:p>
  </w:footnote>
  <w:footnote w:type="continuationSeparator" w:id="0">
    <w:p w14:paraId="2B359C6E" w14:textId="77777777" w:rsidR="004160D5" w:rsidRDefault="004160D5" w:rsidP="00B02F67">
      <w:pPr>
        <w:spacing w:after="0" w:line="240" w:lineRule="auto"/>
      </w:pPr>
      <w:r>
        <w:continuationSeparator/>
      </w:r>
    </w:p>
  </w:footnote>
  <w:footnote w:type="continuationNotice" w:id="1">
    <w:p w14:paraId="31C3C907" w14:textId="77777777" w:rsidR="004160D5" w:rsidRDefault="004160D5">
      <w:pPr>
        <w:spacing w:after="0" w:line="240" w:lineRule="auto"/>
      </w:pPr>
    </w:p>
  </w:footnote>
  <w:footnote w:id="2">
    <w:p w14:paraId="070713AB" w14:textId="29168623" w:rsidR="00B02F67" w:rsidRPr="0079490A" w:rsidRDefault="00B02F67" w:rsidP="00B02F67">
      <w:pPr>
        <w:pStyle w:val="FootnoteText"/>
      </w:pPr>
      <w:r w:rsidRPr="0079490A">
        <w:rPr>
          <w:rStyle w:val="FootnoteReference"/>
        </w:rPr>
        <w:footnoteRef/>
      </w:r>
      <w:r w:rsidRPr="0079490A">
        <w:t xml:space="preserve"> Unless otherwise specified, all references to 20.2.50 NMAC refer to the department’s </w:t>
      </w:r>
      <w:r w:rsidR="00964D4B">
        <w:t xml:space="preserve">December 16, </w:t>
      </w:r>
      <w:proofErr w:type="gramStart"/>
      <w:r w:rsidR="00964D4B">
        <w:t>2021</w:t>
      </w:r>
      <w:proofErr w:type="gramEnd"/>
      <w:r w:rsidR="00964D4B">
        <w:t xml:space="preserve"> proposal. A subsequent proposal was provided on January 18, 2022. Where</w:t>
      </w:r>
      <w:r w:rsidR="00AE6057">
        <w:t xml:space="preserve"> significant, we have noted changes reflected therein.</w:t>
      </w:r>
    </w:p>
  </w:footnote>
  <w:footnote w:id="3">
    <w:p w14:paraId="2C462AE7" w14:textId="3F2BE36E" w:rsidR="00827352" w:rsidRDefault="00827352">
      <w:pPr>
        <w:pStyle w:val="FootnoteText"/>
      </w:pPr>
      <w:r>
        <w:rPr>
          <w:rStyle w:val="FootnoteReference"/>
        </w:rPr>
        <w:footnoteRef/>
      </w:r>
      <w:r>
        <w:t xml:space="preserve"> This is reflected in the Department’s most recent redline circulated to parties on </w:t>
      </w:r>
      <w:r w:rsidR="00446697">
        <w:t xml:space="preserve">January 18, 2022. </w:t>
      </w:r>
    </w:p>
  </w:footnote>
  <w:footnote w:id="4">
    <w:p w14:paraId="29D95AED" w14:textId="4D08E5AA" w:rsidR="00446697" w:rsidRDefault="00446697">
      <w:pPr>
        <w:pStyle w:val="FootnoteText"/>
      </w:pPr>
      <w:r>
        <w:rPr>
          <w:rStyle w:val="FootnoteReference"/>
        </w:rPr>
        <w:footnoteRef/>
      </w:r>
      <w:r>
        <w:t xml:space="preserve"> This is reflected in the Department’s most recent redline circulated to parties on January 18, 2022.</w:t>
      </w:r>
    </w:p>
  </w:footnote>
  <w:footnote w:id="5">
    <w:p w14:paraId="358A3D5F" w14:textId="77777777" w:rsidR="00B02F67" w:rsidRDefault="00B02F67" w:rsidP="00B02F67">
      <w:pPr>
        <w:pStyle w:val="FootnoteText"/>
      </w:pPr>
      <w:r>
        <w:rPr>
          <w:rStyle w:val="FootnoteReference"/>
        </w:rPr>
        <w:footnoteRef/>
      </w:r>
      <w:r>
        <w:t xml:space="preserve"> Note that this list is not exhaustive. For example, e</w:t>
      </w:r>
      <w:r w:rsidRPr="00D967B4">
        <w:t>ngines and turbines standards under 20.2.50.113 NMAC</w:t>
      </w:r>
      <w:r>
        <w:t xml:space="preserve"> </w:t>
      </w:r>
      <w:r w:rsidRPr="00D967B4">
        <w:t>exceed the stringency of similar standards under 40 C.F.R. Part 60, Subparts GG, IIII, JJJJ and KKKK and 40 C.F.R. Part 63, Subparts ZZZZ and YYYY.</w:t>
      </w:r>
      <w:r>
        <w:t xml:space="preserve"> However, NMOGA is not contesting these standards on this basis. </w:t>
      </w:r>
    </w:p>
  </w:footnote>
  <w:footnote w:id="6">
    <w:p w14:paraId="13612C79" w14:textId="77777777" w:rsidR="00B02F67" w:rsidRPr="0079490A" w:rsidRDefault="00B02F67" w:rsidP="00B02F67">
      <w:pPr>
        <w:pStyle w:val="FootnoteText"/>
      </w:pPr>
      <w:r w:rsidRPr="0079490A">
        <w:rPr>
          <w:rStyle w:val="FootnoteReference"/>
        </w:rPr>
        <w:footnoteRef/>
      </w:r>
      <w:r w:rsidRPr="0079490A">
        <w:t xml:space="preserve"> NMOGA is aware that the federal EPA is currently working on updating New Source Performance Standards for many oil and gas operations covered by this rule. However, the </w:t>
      </w:r>
      <w:r>
        <w:t>Board</w:t>
      </w:r>
      <w:r w:rsidRPr="0079490A">
        <w:t xml:space="preserve">’s findings and conclusions must be based on the evidentiary record before it. As a nation-leading rule, the </w:t>
      </w:r>
      <w:r>
        <w:t>Board</w:t>
      </w:r>
      <w:r w:rsidRPr="0079490A">
        <w:t xml:space="preserve">’s actions here will help inform the EPA in assessing the limits of what’s technically practicable and economically feasible.  </w:t>
      </w:r>
    </w:p>
  </w:footnote>
  <w:footnote w:id="7">
    <w:p w14:paraId="11F3D1F6" w14:textId="77777777" w:rsidR="00B02F67" w:rsidRDefault="00B02F67" w:rsidP="00B02F67">
      <w:pPr>
        <w:pStyle w:val="FootnoteText"/>
      </w:pPr>
      <w:r>
        <w:rPr>
          <w:rStyle w:val="FootnoteReference"/>
        </w:rPr>
        <w:footnoteRef/>
      </w:r>
      <w:r>
        <w:t xml:space="preserve"> Indeed, the U.S. Supreme Court has found that statutory language granting more discretion than what the Air Quality Control Act gives the Board “requires at least some attention to cost.”  </w:t>
      </w:r>
      <w:r w:rsidRPr="52E058CA">
        <w:rPr>
          <w:i/>
          <w:iCs/>
        </w:rPr>
        <w:t>Michigan v. EPA</w:t>
      </w:r>
      <w:r w:rsidRPr="52E058CA">
        <w:t>, 576 U.S. --- (construing language “necessary and appropriate” in air statute).</w:t>
      </w:r>
    </w:p>
  </w:footnote>
  <w:footnote w:id="8">
    <w:p w14:paraId="51CA8017" w14:textId="77777777" w:rsidR="00B02F67" w:rsidRPr="0079490A" w:rsidRDefault="00B02F67" w:rsidP="00B02F67">
      <w:pPr>
        <w:spacing w:after="0" w:line="240" w:lineRule="auto"/>
        <w:rPr>
          <w:bCs/>
          <w:sz w:val="20"/>
          <w:szCs w:val="20"/>
        </w:rPr>
      </w:pPr>
      <w:r w:rsidRPr="0079490A">
        <w:rPr>
          <w:rStyle w:val="FootnoteReference"/>
          <w:sz w:val="20"/>
          <w:szCs w:val="20"/>
        </w:rPr>
        <w:footnoteRef/>
      </w:r>
      <w:r w:rsidRPr="0079490A">
        <w:rPr>
          <w:sz w:val="20"/>
          <w:szCs w:val="20"/>
        </w:rPr>
        <w:t xml:space="preserve"> </w:t>
      </w:r>
      <w:r w:rsidRPr="0079490A">
        <w:rPr>
          <w:bCs/>
          <w:sz w:val="20"/>
          <w:szCs w:val="20"/>
        </w:rPr>
        <w:t>Congress enacted the Clean Air Act (“CAA”) in 1970 to address a variety of air pollution problems. A central piece of this legislation was the directive that the Environmental Protection Agency (“EPA”) promulgate primary and secondary national ambient air quality standards (“NAAQS”) for six criteria pollutants: PM</w:t>
      </w:r>
      <w:r w:rsidRPr="0079490A">
        <w:rPr>
          <w:bCs/>
          <w:sz w:val="20"/>
          <w:szCs w:val="20"/>
          <w:vertAlign w:val="subscript"/>
        </w:rPr>
        <w:t>10</w:t>
      </w:r>
      <w:r w:rsidRPr="0079490A">
        <w:rPr>
          <w:bCs/>
          <w:sz w:val="20"/>
          <w:szCs w:val="20"/>
        </w:rPr>
        <w:t xml:space="preserve"> and PM</w:t>
      </w:r>
      <w:r w:rsidRPr="0079490A">
        <w:rPr>
          <w:bCs/>
          <w:sz w:val="20"/>
          <w:szCs w:val="20"/>
          <w:vertAlign w:val="subscript"/>
        </w:rPr>
        <w:t>2.5</w:t>
      </w:r>
      <w:r w:rsidRPr="0079490A">
        <w:rPr>
          <w:bCs/>
          <w:sz w:val="20"/>
          <w:szCs w:val="20"/>
        </w:rPr>
        <w:t>, SO</w:t>
      </w:r>
      <w:r w:rsidRPr="0079490A">
        <w:rPr>
          <w:bCs/>
          <w:sz w:val="20"/>
          <w:szCs w:val="20"/>
          <w:vertAlign w:val="subscript"/>
        </w:rPr>
        <w:t>2</w:t>
      </w:r>
      <w:r w:rsidRPr="0079490A">
        <w:rPr>
          <w:bCs/>
          <w:sz w:val="20"/>
          <w:szCs w:val="20"/>
        </w:rPr>
        <w:t>, NO</w:t>
      </w:r>
      <w:r w:rsidRPr="0079490A">
        <w:rPr>
          <w:bCs/>
          <w:sz w:val="20"/>
          <w:szCs w:val="20"/>
          <w:vertAlign w:val="subscript"/>
        </w:rPr>
        <w:t>2</w:t>
      </w:r>
      <w:r w:rsidRPr="0079490A">
        <w:rPr>
          <w:bCs/>
          <w:sz w:val="20"/>
          <w:szCs w:val="20"/>
        </w:rPr>
        <w:t xml:space="preserve">, CO, </w:t>
      </w:r>
      <w:proofErr w:type="gramStart"/>
      <w:r w:rsidRPr="0079490A">
        <w:rPr>
          <w:bCs/>
          <w:sz w:val="20"/>
          <w:szCs w:val="20"/>
        </w:rPr>
        <w:t>lead</w:t>
      </w:r>
      <w:proofErr w:type="gramEnd"/>
      <w:r w:rsidRPr="0079490A">
        <w:rPr>
          <w:bCs/>
          <w:sz w:val="20"/>
          <w:szCs w:val="20"/>
        </w:rPr>
        <w:t xml:space="preserve"> and ozone. </w:t>
      </w:r>
      <w:r w:rsidRPr="0079490A">
        <w:rPr>
          <w:bCs/>
          <w:sz w:val="20"/>
          <w:szCs w:val="20"/>
        </w:rPr>
        <w:t xml:space="preserve">42 U.S.C. </w:t>
      </w:r>
      <w:r w:rsidRPr="0079490A">
        <w:rPr>
          <w:sz w:val="20"/>
          <w:szCs w:val="20"/>
        </w:rPr>
        <w:t xml:space="preserve"> </w:t>
      </w:r>
      <w:r w:rsidRPr="0079490A">
        <w:rPr>
          <w:bCs/>
          <w:sz w:val="20"/>
          <w:szCs w:val="20"/>
        </w:rPr>
        <w:t>7409</w:t>
      </w:r>
      <w:r w:rsidRPr="0079490A">
        <w:rPr>
          <w:bCs/>
          <w:sz w:val="20"/>
          <w:szCs w:val="20"/>
        </w:rPr>
        <w:t xml:space="preserve">(a). </w:t>
      </w:r>
    </w:p>
    <w:p w14:paraId="60A0D542" w14:textId="77777777" w:rsidR="00B02F67" w:rsidRPr="0079490A" w:rsidRDefault="00B02F67" w:rsidP="00B02F67">
      <w:pPr>
        <w:pStyle w:val="FootnoteText"/>
      </w:pPr>
    </w:p>
  </w:footnote>
  <w:footnote w:id="9">
    <w:p w14:paraId="0020E688" w14:textId="1B7E424C" w:rsidR="000205B1" w:rsidRDefault="000205B1">
      <w:pPr>
        <w:pStyle w:val="FootnoteText"/>
      </w:pPr>
      <w:r>
        <w:rPr>
          <w:rStyle w:val="FootnoteReference"/>
        </w:rPr>
        <w:footnoteRef/>
      </w:r>
      <w:r>
        <w:t xml:space="preserve"> The Board should also adopt the limiting clarification NMOGA has proposed to the definition of “Occupied area.”  The last clause, (4), broadly refers to </w:t>
      </w:r>
      <w:r w:rsidR="003B52E3">
        <w:t xml:space="preserve">outdoor venues and recreation areas.  </w:t>
      </w:r>
      <w:r w:rsidR="00673194">
        <w:t xml:space="preserve">Recreation area can be broadly construed to cover National Forests and similar dispersed recreation areas, which would </w:t>
      </w:r>
      <w:r w:rsidR="00C2015F">
        <w:t>broaden the “proximity LDAR” proposal beyond recognition.  See suggested revisions in NMOGA redline, 20.2.50.7 NMAC.</w:t>
      </w:r>
    </w:p>
  </w:footnote>
  <w:footnote w:id="10">
    <w:p w14:paraId="15223C31" w14:textId="77777777" w:rsidR="00B02F67" w:rsidRDefault="00B02F67" w:rsidP="00B02F67">
      <w:pPr>
        <w:pStyle w:val="FootnoteText"/>
      </w:pPr>
      <w:r>
        <w:rPr>
          <w:rStyle w:val="FootnoteReference"/>
        </w:rPr>
        <w:footnoteRef/>
      </w:r>
      <w:r>
        <w:t xml:space="preserve"> If the Board determines to retain these provisions even in the absence of record evidence, the changes proposed by NMOGA should be incorporated to reduce the burden </w:t>
      </w:r>
      <w:proofErr w:type="gramStart"/>
      <w:r>
        <w:t>in light of</w:t>
      </w:r>
      <w:proofErr w:type="gramEnd"/>
      <w:r>
        <w:t xml:space="preserve"> the negligible emissions benefit.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23C28"/>
    <w:multiLevelType w:val="hybridMultilevel"/>
    <w:tmpl w:val="5A5A83F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B01A6F"/>
    <w:multiLevelType w:val="hybridMultilevel"/>
    <w:tmpl w:val="4E383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E2BC2"/>
    <w:multiLevelType w:val="hybridMultilevel"/>
    <w:tmpl w:val="6270D334"/>
    <w:lvl w:ilvl="0" w:tplc="0409000F">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2D54FC"/>
    <w:multiLevelType w:val="hybridMultilevel"/>
    <w:tmpl w:val="9B767BF6"/>
    <w:lvl w:ilvl="0" w:tplc="13528D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1F5B47"/>
    <w:multiLevelType w:val="hybridMultilevel"/>
    <w:tmpl w:val="44ECA4CE"/>
    <w:lvl w:ilvl="0" w:tplc="FBEC3A3E">
      <w:start w:val="1"/>
      <w:numFmt w:val="upperRoman"/>
      <w:pStyle w:val="Heading1"/>
      <w:lvlText w:val="%1."/>
      <w:lvlJc w:val="left"/>
      <w:pPr>
        <w:ind w:left="1080" w:hanging="720"/>
      </w:pPr>
      <w:rPr>
        <w:rFonts w:hint="default"/>
      </w:rPr>
    </w:lvl>
    <w:lvl w:ilvl="1" w:tplc="1B6EB638">
      <w:start w:val="1"/>
      <w:numFmt w:val="upperLetter"/>
      <w:pStyle w:val="Heading2"/>
      <w:lvlText w:val="%2."/>
      <w:lvlJc w:val="left"/>
      <w:pPr>
        <w:ind w:left="360" w:hanging="360"/>
      </w:pPr>
    </w:lvl>
    <w:lvl w:ilvl="2" w:tplc="E50A580A">
      <w:start w:val="1"/>
      <w:numFmt w:val="lowerRoman"/>
      <w:pStyle w:val="Heading3"/>
      <w:lvlText w:val="%3."/>
      <w:lvlJc w:val="right"/>
      <w:pPr>
        <w:ind w:left="2160" w:hanging="180"/>
      </w:pPr>
    </w:lvl>
    <w:lvl w:ilvl="3" w:tplc="144CEEF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2371DD"/>
    <w:multiLevelType w:val="hybridMultilevel"/>
    <w:tmpl w:val="D7CA0C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FAF3622"/>
    <w:multiLevelType w:val="hybridMultilevel"/>
    <w:tmpl w:val="D3F4C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9756F7"/>
    <w:multiLevelType w:val="hybridMultilevel"/>
    <w:tmpl w:val="3C8E8E14"/>
    <w:lvl w:ilvl="0" w:tplc="3F086B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465901"/>
    <w:multiLevelType w:val="hybridMultilevel"/>
    <w:tmpl w:val="A92EDC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C4C21D2"/>
    <w:multiLevelType w:val="hybridMultilevel"/>
    <w:tmpl w:val="2488C0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C458FB"/>
    <w:multiLevelType w:val="hybridMultilevel"/>
    <w:tmpl w:val="F952775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B74F43"/>
    <w:multiLevelType w:val="hybridMultilevel"/>
    <w:tmpl w:val="7888587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6916D17"/>
    <w:multiLevelType w:val="hybridMultilevel"/>
    <w:tmpl w:val="2F52EA4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AB11AF6"/>
    <w:multiLevelType w:val="hybridMultilevel"/>
    <w:tmpl w:val="433CCAC2"/>
    <w:lvl w:ilvl="0" w:tplc="AE964B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FA1541"/>
    <w:multiLevelType w:val="hybridMultilevel"/>
    <w:tmpl w:val="F8068A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D853061"/>
    <w:multiLevelType w:val="hybridMultilevel"/>
    <w:tmpl w:val="70445E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5F13D54"/>
    <w:multiLevelType w:val="hybridMultilevel"/>
    <w:tmpl w:val="06065CF0"/>
    <w:lvl w:ilvl="0" w:tplc="FFFFFFFF">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9665974"/>
    <w:multiLevelType w:val="hybridMultilevel"/>
    <w:tmpl w:val="D564D77E"/>
    <w:lvl w:ilvl="0" w:tplc="B8401B18">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889274A"/>
    <w:multiLevelType w:val="hybridMultilevel"/>
    <w:tmpl w:val="1D92E7E2"/>
    <w:lvl w:ilvl="0" w:tplc="DA84A0B8">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D378B0"/>
    <w:multiLevelType w:val="hybridMultilevel"/>
    <w:tmpl w:val="2488C0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E276625"/>
    <w:multiLevelType w:val="hybridMultilevel"/>
    <w:tmpl w:val="D4240168"/>
    <w:lvl w:ilvl="0" w:tplc="0409001B">
      <w:start w:val="1"/>
      <w:numFmt w:val="lowerRoman"/>
      <w:lvlText w:val="%1."/>
      <w:lvlJc w:val="right"/>
      <w:pPr>
        <w:ind w:left="540" w:hanging="18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num w:numId="1">
    <w:abstractNumId w:val="4"/>
  </w:num>
  <w:num w:numId="2">
    <w:abstractNumId w:val="13"/>
  </w:num>
  <w:num w:numId="3">
    <w:abstractNumId w:val="17"/>
  </w:num>
  <w:num w:numId="4">
    <w:abstractNumId w:val="3"/>
  </w:num>
  <w:num w:numId="5">
    <w:abstractNumId w:val="2"/>
  </w:num>
  <w:num w:numId="6">
    <w:abstractNumId w:val="7"/>
  </w:num>
  <w:num w:numId="7">
    <w:abstractNumId w:val="20"/>
  </w:num>
  <w:num w:numId="8">
    <w:abstractNumId w:val="1"/>
  </w:num>
  <w:num w:numId="9">
    <w:abstractNumId w:val="5"/>
  </w:num>
  <w:num w:numId="10">
    <w:abstractNumId w:val="15"/>
  </w:num>
  <w:num w:numId="11">
    <w:abstractNumId w:val="18"/>
  </w:num>
  <w:num w:numId="12">
    <w:abstractNumId w:val="14"/>
  </w:num>
  <w:num w:numId="13">
    <w:abstractNumId w:val="19"/>
  </w:num>
  <w:num w:numId="14">
    <w:abstractNumId w:val="9"/>
  </w:num>
  <w:num w:numId="15">
    <w:abstractNumId w:val="11"/>
  </w:num>
  <w:num w:numId="16">
    <w:abstractNumId w:val="10"/>
  </w:num>
  <w:num w:numId="17">
    <w:abstractNumId w:val="0"/>
  </w:num>
  <w:num w:numId="18">
    <w:abstractNumId w:val="12"/>
  </w:num>
  <w:num w:numId="19">
    <w:abstractNumId w:val="6"/>
  </w:num>
  <w:num w:numId="20">
    <w:abstractNumId w:val="8"/>
  </w:num>
  <w:num w:numId="21">
    <w:abstractNumId w:val="16"/>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F67"/>
    <w:rsid w:val="00005C52"/>
    <w:rsid w:val="00011463"/>
    <w:rsid w:val="000205B1"/>
    <w:rsid w:val="00033373"/>
    <w:rsid w:val="0004451E"/>
    <w:rsid w:val="000656C4"/>
    <w:rsid w:val="0006617C"/>
    <w:rsid w:val="0006679E"/>
    <w:rsid w:val="000D7642"/>
    <w:rsid w:val="000E4B22"/>
    <w:rsid w:val="00114BFF"/>
    <w:rsid w:val="00136778"/>
    <w:rsid w:val="001564EF"/>
    <w:rsid w:val="00160B0B"/>
    <w:rsid w:val="00165EEC"/>
    <w:rsid w:val="001777AB"/>
    <w:rsid w:val="00182E02"/>
    <w:rsid w:val="00187021"/>
    <w:rsid w:val="001907DA"/>
    <w:rsid w:val="00191D34"/>
    <w:rsid w:val="00191E0D"/>
    <w:rsid w:val="00197A5D"/>
    <w:rsid w:val="00197C2F"/>
    <w:rsid w:val="001C13CE"/>
    <w:rsid w:val="001E3532"/>
    <w:rsid w:val="002000F6"/>
    <w:rsid w:val="00215C37"/>
    <w:rsid w:val="002179E7"/>
    <w:rsid w:val="0022385A"/>
    <w:rsid w:val="002347FC"/>
    <w:rsid w:val="00235BDD"/>
    <w:rsid w:val="00237BDB"/>
    <w:rsid w:val="00252440"/>
    <w:rsid w:val="00262D69"/>
    <w:rsid w:val="00266E3C"/>
    <w:rsid w:val="00274441"/>
    <w:rsid w:val="00276DAF"/>
    <w:rsid w:val="0028107C"/>
    <w:rsid w:val="002933E7"/>
    <w:rsid w:val="002B245D"/>
    <w:rsid w:val="002C6F63"/>
    <w:rsid w:val="002E4467"/>
    <w:rsid w:val="002E44E2"/>
    <w:rsid w:val="00302D9B"/>
    <w:rsid w:val="0030457E"/>
    <w:rsid w:val="00307D7F"/>
    <w:rsid w:val="003163C1"/>
    <w:rsid w:val="00324A18"/>
    <w:rsid w:val="00325860"/>
    <w:rsid w:val="003301F4"/>
    <w:rsid w:val="00332F28"/>
    <w:rsid w:val="00334A31"/>
    <w:rsid w:val="0033757E"/>
    <w:rsid w:val="00346EAA"/>
    <w:rsid w:val="0035139E"/>
    <w:rsid w:val="00351D8B"/>
    <w:rsid w:val="003601E5"/>
    <w:rsid w:val="00370924"/>
    <w:rsid w:val="003758B0"/>
    <w:rsid w:val="00383F6E"/>
    <w:rsid w:val="003A3D8B"/>
    <w:rsid w:val="003B118A"/>
    <w:rsid w:val="003B52E3"/>
    <w:rsid w:val="003D0C0C"/>
    <w:rsid w:val="003D3029"/>
    <w:rsid w:val="004104D3"/>
    <w:rsid w:val="004160D5"/>
    <w:rsid w:val="00427284"/>
    <w:rsid w:val="00431F5A"/>
    <w:rsid w:val="00446697"/>
    <w:rsid w:val="0045449C"/>
    <w:rsid w:val="00460976"/>
    <w:rsid w:val="0046359C"/>
    <w:rsid w:val="004675E2"/>
    <w:rsid w:val="00471B0E"/>
    <w:rsid w:val="004725A9"/>
    <w:rsid w:val="00473AE2"/>
    <w:rsid w:val="00480384"/>
    <w:rsid w:val="004A3650"/>
    <w:rsid w:val="004C39DF"/>
    <w:rsid w:val="004E110E"/>
    <w:rsid w:val="004E3B05"/>
    <w:rsid w:val="004E4932"/>
    <w:rsid w:val="004E7E53"/>
    <w:rsid w:val="004F3708"/>
    <w:rsid w:val="004F51D4"/>
    <w:rsid w:val="004F79F2"/>
    <w:rsid w:val="005012B9"/>
    <w:rsid w:val="00507AC3"/>
    <w:rsid w:val="00511C14"/>
    <w:rsid w:val="00516DF9"/>
    <w:rsid w:val="00546365"/>
    <w:rsid w:val="00567B9A"/>
    <w:rsid w:val="00572A11"/>
    <w:rsid w:val="00590A3F"/>
    <w:rsid w:val="005B5061"/>
    <w:rsid w:val="005B62DA"/>
    <w:rsid w:val="005C26FA"/>
    <w:rsid w:val="005C77CA"/>
    <w:rsid w:val="005D0E36"/>
    <w:rsid w:val="005F0165"/>
    <w:rsid w:val="005F5BFE"/>
    <w:rsid w:val="00620B44"/>
    <w:rsid w:val="0062413C"/>
    <w:rsid w:val="0063366E"/>
    <w:rsid w:val="006419C6"/>
    <w:rsid w:val="00647281"/>
    <w:rsid w:val="006475C8"/>
    <w:rsid w:val="00661096"/>
    <w:rsid w:val="00673194"/>
    <w:rsid w:val="00676A75"/>
    <w:rsid w:val="00683E85"/>
    <w:rsid w:val="006B1640"/>
    <w:rsid w:val="006B1B6B"/>
    <w:rsid w:val="006B1C61"/>
    <w:rsid w:val="006C24BD"/>
    <w:rsid w:val="006D1EC5"/>
    <w:rsid w:val="006D3535"/>
    <w:rsid w:val="006E2A8A"/>
    <w:rsid w:val="006F0925"/>
    <w:rsid w:val="006F1672"/>
    <w:rsid w:val="007125BE"/>
    <w:rsid w:val="00721986"/>
    <w:rsid w:val="0072253D"/>
    <w:rsid w:val="00722BA3"/>
    <w:rsid w:val="00756AE3"/>
    <w:rsid w:val="00760FD4"/>
    <w:rsid w:val="0076304A"/>
    <w:rsid w:val="0079004D"/>
    <w:rsid w:val="007B053C"/>
    <w:rsid w:val="007B0E55"/>
    <w:rsid w:val="007C2245"/>
    <w:rsid w:val="007D0137"/>
    <w:rsid w:val="007E06E4"/>
    <w:rsid w:val="007E3990"/>
    <w:rsid w:val="007E3D1D"/>
    <w:rsid w:val="007E7157"/>
    <w:rsid w:val="007F5A8E"/>
    <w:rsid w:val="008004CD"/>
    <w:rsid w:val="008037AA"/>
    <w:rsid w:val="0080406B"/>
    <w:rsid w:val="00804A57"/>
    <w:rsid w:val="00826105"/>
    <w:rsid w:val="008272D9"/>
    <w:rsid w:val="00827352"/>
    <w:rsid w:val="00835509"/>
    <w:rsid w:val="00853FFD"/>
    <w:rsid w:val="00860975"/>
    <w:rsid w:val="008758F8"/>
    <w:rsid w:val="0088545C"/>
    <w:rsid w:val="008A4542"/>
    <w:rsid w:val="008D00BF"/>
    <w:rsid w:val="008D6C12"/>
    <w:rsid w:val="008E2340"/>
    <w:rsid w:val="008E26EA"/>
    <w:rsid w:val="008F724D"/>
    <w:rsid w:val="00901B18"/>
    <w:rsid w:val="0090286E"/>
    <w:rsid w:val="0092488F"/>
    <w:rsid w:val="00934CB5"/>
    <w:rsid w:val="00940759"/>
    <w:rsid w:val="00944FD7"/>
    <w:rsid w:val="00961D80"/>
    <w:rsid w:val="00964D4B"/>
    <w:rsid w:val="00972EBC"/>
    <w:rsid w:val="0097308E"/>
    <w:rsid w:val="009855D0"/>
    <w:rsid w:val="00990D6C"/>
    <w:rsid w:val="009B31CF"/>
    <w:rsid w:val="009C1681"/>
    <w:rsid w:val="009C3E55"/>
    <w:rsid w:val="009D2C7B"/>
    <w:rsid w:val="009F3DAC"/>
    <w:rsid w:val="00A0736C"/>
    <w:rsid w:val="00A13169"/>
    <w:rsid w:val="00A1774D"/>
    <w:rsid w:val="00A322C0"/>
    <w:rsid w:val="00A33DC1"/>
    <w:rsid w:val="00A47583"/>
    <w:rsid w:val="00A56E80"/>
    <w:rsid w:val="00A633A7"/>
    <w:rsid w:val="00A6468A"/>
    <w:rsid w:val="00A84DB9"/>
    <w:rsid w:val="00A85290"/>
    <w:rsid w:val="00A9209F"/>
    <w:rsid w:val="00A9521E"/>
    <w:rsid w:val="00AA10B8"/>
    <w:rsid w:val="00AA58DB"/>
    <w:rsid w:val="00AB51D1"/>
    <w:rsid w:val="00AC34BB"/>
    <w:rsid w:val="00AD0552"/>
    <w:rsid w:val="00AD32EB"/>
    <w:rsid w:val="00AD336F"/>
    <w:rsid w:val="00AE0D94"/>
    <w:rsid w:val="00AE1283"/>
    <w:rsid w:val="00AE3056"/>
    <w:rsid w:val="00AE5752"/>
    <w:rsid w:val="00AE6057"/>
    <w:rsid w:val="00AF0E9D"/>
    <w:rsid w:val="00AF1EF0"/>
    <w:rsid w:val="00AF45D5"/>
    <w:rsid w:val="00B02857"/>
    <w:rsid w:val="00B02F67"/>
    <w:rsid w:val="00B03007"/>
    <w:rsid w:val="00B04C72"/>
    <w:rsid w:val="00B178BF"/>
    <w:rsid w:val="00B24AF5"/>
    <w:rsid w:val="00B319E2"/>
    <w:rsid w:val="00B35857"/>
    <w:rsid w:val="00B55D9F"/>
    <w:rsid w:val="00B64E48"/>
    <w:rsid w:val="00B74369"/>
    <w:rsid w:val="00B853E4"/>
    <w:rsid w:val="00B9724E"/>
    <w:rsid w:val="00BA3E1D"/>
    <w:rsid w:val="00BE3A8F"/>
    <w:rsid w:val="00BE714E"/>
    <w:rsid w:val="00C06078"/>
    <w:rsid w:val="00C13D4D"/>
    <w:rsid w:val="00C2015F"/>
    <w:rsid w:val="00C3524A"/>
    <w:rsid w:val="00C54B93"/>
    <w:rsid w:val="00C56345"/>
    <w:rsid w:val="00C713BA"/>
    <w:rsid w:val="00C769DC"/>
    <w:rsid w:val="00C832A4"/>
    <w:rsid w:val="00C90467"/>
    <w:rsid w:val="00C93A24"/>
    <w:rsid w:val="00CD1F99"/>
    <w:rsid w:val="00CD69D7"/>
    <w:rsid w:val="00CE3202"/>
    <w:rsid w:val="00CF0E96"/>
    <w:rsid w:val="00D00037"/>
    <w:rsid w:val="00D0528A"/>
    <w:rsid w:val="00D15A51"/>
    <w:rsid w:val="00D23D20"/>
    <w:rsid w:val="00D35122"/>
    <w:rsid w:val="00D37B6B"/>
    <w:rsid w:val="00D44AAD"/>
    <w:rsid w:val="00D67A40"/>
    <w:rsid w:val="00D85E7C"/>
    <w:rsid w:val="00D9096D"/>
    <w:rsid w:val="00D90E21"/>
    <w:rsid w:val="00DB46B6"/>
    <w:rsid w:val="00DB6171"/>
    <w:rsid w:val="00DD6C4A"/>
    <w:rsid w:val="00DF19C1"/>
    <w:rsid w:val="00E05035"/>
    <w:rsid w:val="00E06115"/>
    <w:rsid w:val="00E74180"/>
    <w:rsid w:val="00E81288"/>
    <w:rsid w:val="00E86D1D"/>
    <w:rsid w:val="00E954CF"/>
    <w:rsid w:val="00EA32A6"/>
    <w:rsid w:val="00EA69E3"/>
    <w:rsid w:val="00EA6AB0"/>
    <w:rsid w:val="00EB1D34"/>
    <w:rsid w:val="00EC4B40"/>
    <w:rsid w:val="00ED24B9"/>
    <w:rsid w:val="00ED2A63"/>
    <w:rsid w:val="00EE4969"/>
    <w:rsid w:val="00F065E9"/>
    <w:rsid w:val="00F1100E"/>
    <w:rsid w:val="00F16DEE"/>
    <w:rsid w:val="00F70A8E"/>
    <w:rsid w:val="00F93617"/>
    <w:rsid w:val="00FA626F"/>
    <w:rsid w:val="00FA62DD"/>
    <w:rsid w:val="00FB2B6E"/>
    <w:rsid w:val="00FB5BB7"/>
    <w:rsid w:val="00FD0B47"/>
    <w:rsid w:val="00FE025E"/>
    <w:rsid w:val="00FE6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87AED"/>
  <w15:chartTrackingRefBased/>
  <w15:docId w15:val="{7636593C-0DE0-4C8F-91C6-6A6BEC8DF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F67"/>
    <w:rPr>
      <w:rFonts w:ascii="Times New Roman" w:hAnsi="Times New Roman"/>
      <w:sz w:val="24"/>
    </w:rPr>
  </w:style>
  <w:style w:type="paragraph" w:styleId="Heading1">
    <w:name w:val="heading 1"/>
    <w:basedOn w:val="ListParagraph"/>
    <w:next w:val="Normal"/>
    <w:link w:val="Heading1Char"/>
    <w:uiPriority w:val="9"/>
    <w:qFormat/>
    <w:rsid w:val="00661096"/>
    <w:pPr>
      <w:numPr>
        <w:numId w:val="1"/>
      </w:numPr>
      <w:spacing w:after="0" w:line="480" w:lineRule="auto"/>
      <w:jc w:val="center"/>
      <w:outlineLvl w:val="0"/>
    </w:pPr>
    <w:rPr>
      <w:b/>
    </w:rPr>
  </w:style>
  <w:style w:type="paragraph" w:styleId="Heading2">
    <w:name w:val="heading 2"/>
    <w:basedOn w:val="ListParagraph"/>
    <w:next w:val="Normal"/>
    <w:link w:val="Heading2Char"/>
    <w:uiPriority w:val="9"/>
    <w:unhideWhenUsed/>
    <w:qFormat/>
    <w:rsid w:val="00661096"/>
    <w:pPr>
      <w:numPr>
        <w:ilvl w:val="1"/>
        <w:numId w:val="1"/>
      </w:numPr>
      <w:spacing w:after="0" w:line="480" w:lineRule="auto"/>
      <w:jc w:val="both"/>
      <w:outlineLvl w:val="1"/>
    </w:pPr>
    <w:rPr>
      <w:b/>
      <w:i/>
      <w:iCs/>
    </w:rPr>
  </w:style>
  <w:style w:type="paragraph" w:styleId="Heading3">
    <w:name w:val="heading 3"/>
    <w:basedOn w:val="ListParagraph"/>
    <w:next w:val="Normal"/>
    <w:link w:val="Heading3Char"/>
    <w:uiPriority w:val="9"/>
    <w:unhideWhenUsed/>
    <w:qFormat/>
    <w:rsid w:val="00661096"/>
    <w:pPr>
      <w:numPr>
        <w:ilvl w:val="2"/>
        <w:numId w:val="1"/>
      </w:numPr>
      <w:spacing w:after="0" w:line="480" w:lineRule="auto"/>
      <w:ind w:left="900"/>
      <w:jc w:val="both"/>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02F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F67"/>
    <w:rPr>
      <w:rFonts w:ascii="Times New Roman" w:hAnsi="Times New Roman"/>
      <w:sz w:val="24"/>
    </w:rPr>
  </w:style>
  <w:style w:type="table" w:styleId="TableGrid">
    <w:name w:val="Table Grid"/>
    <w:basedOn w:val="TableNormal"/>
    <w:uiPriority w:val="39"/>
    <w:rsid w:val="00B02F67"/>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02F67"/>
  </w:style>
  <w:style w:type="paragraph" w:styleId="ListParagraph">
    <w:name w:val="List Paragraph"/>
    <w:basedOn w:val="Normal"/>
    <w:uiPriority w:val="34"/>
    <w:qFormat/>
    <w:rsid w:val="00B02F67"/>
    <w:pPr>
      <w:ind w:left="720"/>
      <w:contextualSpacing/>
    </w:pPr>
  </w:style>
  <w:style w:type="paragraph" w:styleId="Header">
    <w:name w:val="header"/>
    <w:basedOn w:val="Normal"/>
    <w:link w:val="HeaderChar"/>
    <w:uiPriority w:val="99"/>
    <w:unhideWhenUsed/>
    <w:rsid w:val="00B02F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F67"/>
    <w:rPr>
      <w:rFonts w:ascii="Times New Roman" w:hAnsi="Times New Roman"/>
      <w:sz w:val="24"/>
    </w:rPr>
  </w:style>
  <w:style w:type="paragraph" w:styleId="FootnoteText">
    <w:name w:val="footnote text"/>
    <w:basedOn w:val="Normal"/>
    <w:link w:val="FootnoteTextChar"/>
    <w:rsid w:val="00B02F67"/>
    <w:pPr>
      <w:spacing w:after="0" w:line="240" w:lineRule="auto"/>
    </w:pPr>
    <w:rPr>
      <w:rFonts w:eastAsia="Times New Roman" w:cs="Times New Roman"/>
      <w:color w:val="000000" w:themeColor="text1"/>
      <w:sz w:val="20"/>
      <w:szCs w:val="20"/>
    </w:rPr>
  </w:style>
  <w:style w:type="character" w:customStyle="1" w:styleId="FootnoteTextChar">
    <w:name w:val="Footnote Text Char"/>
    <w:basedOn w:val="DefaultParagraphFont"/>
    <w:link w:val="FootnoteText"/>
    <w:rsid w:val="00B02F67"/>
    <w:rPr>
      <w:rFonts w:ascii="Times New Roman" w:eastAsia="Times New Roman" w:hAnsi="Times New Roman" w:cs="Times New Roman"/>
      <w:color w:val="000000" w:themeColor="text1"/>
      <w:sz w:val="20"/>
      <w:szCs w:val="20"/>
    </w:rPr>
  </w:style>
  <w:style w:type="character" w:styleId="FootnoteReference">
    <w:name w:val="footnote reference"/>
    <w:basedOn w:val="DefaultParagraphFont"/>
    <w:rsid w:val="00B02F67"/>
    <w:rPr>
      <w:vertAlign w:val="superscript"/>
    </w:rPr>
  </w:style>
  <w:style w:type="paragraph" w:styleId="Revision">
    <w:name w:val="Revision"/>
    <w:hidden/>
    <w:uiPriority w:val="99"/>
    <w:semiHidden/>
    <w:rsid w:val="00B02F67"/>
    <w:pPr>
      <w:spacing w:after="0" w:line="240" w:lineRule="auto"/>
    </w:pPr>
    <w:rPr>
      <w:rFonts w:ascii="Times New Roman" w:hAnsi="Times New Roman"/>
      <w:sz w:val="24"/>
    </w:rPr>
  </w:style>
  <w:style w:type="paragraph" w:styleId="CommentText">
    <w:name w:val="annotation text"/>
    <w:basedOn w:val="Normal"/>
    <w:link w:val="CommentTextChar"/>
    <w:uiPriority w:val="99"/>
    <w:unhideWhenUsed/>
    <w:rsid w:val="00B02F67"/>
    <w:pPr>
      <w:spacing w:line="240" w:lineRule="auto"/>
    </w:pPr>
    <w:rPr>
      <w:sz w:val="20"/>
      <w:szCs w:val="20"/>
    </w:rPr>
  </w:style>
  <w:style w:type="character" w:customStyle="1" w:styleId="CommentTextChar">
    <w:name w:val="Comment Text Char"/>
    <w:basedOn w:val="DefaultParagraphFont"/>
    <w:link w:val="CommentText"/>
    <w:uiPriority w:val="99"/>
    <w:rsid w:val="00B02F67"/>
    <w:rPr>
      <w:rFonts w:ascii="Times New Roman" w:hAnsi="Times New Roman"/>
      <w:sz w:val="20"/>
      <w:szCs w:val="20"/>
    </w:rPr>
  </w:style>
  <w:style w:type="character" w:styleId="CommentReference">
    <w:name w:val="annotation reference"/>
    <w:basedOn w:val="DefaultParagraphFont"/>
    <w:uiPriority w:val="99"/>
    <w:unhideWhenUsed/>
    <w:rsid w:val="00B02F67"/>
    <w:rPr>
      <w:sz w:val="16"/>
      <w:szCs w:val="16"/>
    </w:rPr>
  </w:style>
  <w:style w:type="paragraph" w:styleId="CommentSubject">
    <w:name w:val="annotation subject"/>
    <w:basedOn w:val="CommentText"/>
    <w:next w:val="CommentText"/>
    <w:link w:val="CommentSubjectChar"/>
    <w:uiPriority w:val="99"/>
    <w:semiHidden/>
    <w:unhideWhenUsed/>
    <w:rsid w:val="00B02F67"/>
    <w:rPr>
      <w:b/>
      <w:bCs/>
    </w:rPr>
  </w:style>
  <w:style w:type="character" w:customStyle="1" w:styleId="CommentSubjectChar">
    <w:name w:val="Comment Subject Char"/>
    <w:basedOn w:val="CommentTextChar"/>
    <w:link w:val="CommentSubject"/>
    <w:uiPriority w:val="99"/>
    <w:semiHidden/>
    <w:rsid w:val="00B02F67"/>
    <w:rPr>
      <w:rFonts w:ascii="Times New Roman" w:hAnsi="Times New Roman"/>
      <w:b/>
      <w:bCs/>
      <w:sz w:val="20"/>
      <w:szCs w:val="20"/>
    </w:rPr>
  </w:style>
  <w:style w:type="character" w:styleId="Hyperlink">
    <w:name w:val="Hyperlink"/>
    <w:basedOn w:val="DefaultParagraphFont"/>
    <w:uiPriority w:val="99"/>
    <w:unhideWhenUsed/>
    <w:rsid w:val="00B02F67"/>
    <w:rPr>
      <w:color w:val="0000FF"/>
      <w:u w:val="single"/>
    </w:rPr>
  </w:style>
  <w:style w:type="character" w:styleId="UnresolvedMention">
    <w:name w:val="Unresolved Mention"/>
    <w:basedOn w:val="DefaultParagraphFont"/>
    <w:uiPriority w:val="99"/>
    <w:unhideWhenUsed/>
    <w:rsid w:val="00B02F67"/>
    <w:rPr>
      <w:color w:val="605E5C"/>
      <w:shd w:val="clear" w:color="auto" w:fill="E1DFDD"/>
    </w:rPr>
  </w:style>
  <w:style w:type="paragraph" w:styleId="EndnoteText">
    <w:name w:val="endnote text"/>
    <w:basedOn w:val="Normal"/>
    <w:link w:val="EndnoteTextChar"/>
    <w:uiPriority w:val="99"/>
    <w:semiHidden/>
    <w:unhideWhenUsed/>
    <w:rsid w:val="00B02F6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2F67"/>
    <w:rPr>
      <w:rFonts w:ascii="Times New Roman" w:hAnsi="Times New Roman"/>
      <w:sz w:val="20"/>
      <w:szCs w:val="20"/>
    </w:rPr>
  </w:style>
  <w:style w:type="character" w:styleId="EndnoteReference">
    <w:name w:val="endnote reference"/>
    <w:basedOn w:val="DefaultParagraphFont"/>
    <w:uiPriority w:val="99"/>
    <w:semiHidden/>
    <w:unhideWhenUsed/>
    <w:rsid w:val="00B02F67"/>
    <w:rPr>
      <w:vertAlign w:val="superscript"/>
    </w:rPr>
  </w:style>
  <w:style w:type="character" w:styleId="Mention">
    <w:name w:val="Mention"/>
    <w:basedOn w:val="DefaultParagraphFont"/>
    <w:uiPriority w:val="99"/>
    <w:unhideWhenUsed/>
    <w:rsid w:val="00B02F67"/>
    <w:rPr>
      <w:color w:val="2B579A"/>
      <w:shd w:val="clear" w:color="auto" w:fill="E1DFDD"/>
    </w:rPr>
  </w:style>
  <w:style w:type="table" w:styleId="PlainTable1">
    <w:name w:val="Plain Table 1"/>
    <w:basedOn w:val="TableNormal"/>
    <w:uiPriority w:val="41"/>
    <w:rsid w:val="00B02F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661096"/>
    <w:rPr>
      <w:rFonts w:ascii="Times New Roman" w:hAnsi="Times New Roman"/>
      <w:b/>
      <w:sz w:val="24"/>
    </w:rPr>
  </w:style>
  <w:style w:type="paragraph" w:styleId="TOCHeading">
    <w:name w:val="TOC Heading"/>
    <w:basedOn w:val="Heading1"/>
    <w:next w:val="Normal"/>
    <w:uiPriority w:val="39"/>
    <w:unhideWhenUsed/>
    <w:qFormat/>
    <w:rsid w:val="0088545C"/>
    <w:pPr>
      <w:outlineLvl w:val="9"/>
    </w:pPr>
  </w:style>
  <w:style w:type="character" w:customStyle="1" w:styleId="Heading2Char">
    <w:name w:val="Heading 2 Char"/>
    <w:basedOn w:val="DefaultParagraphFont"/>
    <w:link w:val="Heading2"/>
    <w:uiPriority w:val="9"/>
    <w:rsid w:val="00661096"/>
    <w:rPr>
      <w:rFonts w:ascii="Times New Roman" w:hAnsi="Times New Roman"/>
      <w:b/>
      <w:i/>
      <w:iCs/>
      <w:sz w:val="24"/>
    </w:rPr>
  </w:style>
  <w:style w:type="character" w:customStyle="1" w:styleId="Heading3Char">
    <w:name w:val="Heading 3 Char"/>
    <w:basedOn w:val="DefaultParagraphFont"/>
    <w:link w:val="Heading3"/>
    <w:uiPriority w:val="9"/>
    <w:rsid w:val="00661096"/>
    <w:rPr>
      <w:rFonts w:ascii="Times New Roman" w:hAnsi="Times New Roman"/>
      <w:b/>
      <w:sz w:val="24"/>
    </w:rPr>
  </w:style>
  <w:style w:type="paragraph" w:styleId="TOC1">
    <w:name w:val="toc 1"/>
    <w:basedOn w:val="Normal"/>
    <w:next w:val="Normal"/>
    <w:autoRedefine/>
    <w:uiPriority w:val="39"/>
    <w:unhideWhenUsed/>
    <w:rsid w:val="00274441"/>
    <w:pPr>
      <w:spacing w:after="100"/>
    </w:pPr>
  </w:style>
  <w:style w:type="paragraph" w:styleId="TOC2">
    <w:name w:val="toc 2"/>
    <w:basedOn w:val="Normal"/>
    <w:next w:val="Normal"/>
    <w:autoRedefine/>
    <w:uiPriority w:val="39"/>
    <w:unhideWhenUsed/>
    <w:rsid w:val="00274441"/>
    <w:pPr>
      <w:spacing w:after="100"/>
      <w:ind w:left="240"/>
    </w:pPr>
  </w:style>
  <w:style w:type="paragraph" w:styleId="TOC3">
    <w:name w:val="toc 3"/>
    <w:basedOn w:val="Normal"/>
    <w:next w:val="Normal"/>
    <w:autoRedefine/>
    <w:uiPriority w:val="39"/>
    <w:unhideWhenUsed/>
    <w:rsid w:val="00274441"/>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754BDE3783254381DB48B7D0CF53F3" ma:contentTypeVersion="13" ma:contentTypeDescription="Create a new document." ma:contentTypeScope="" ma:versionID="2b3a6d3dbd9ab3b68a32a7f7a8ae3d60">
  <xsd:schema xmlns:xsd="http://www.w3.org/2001/XMLSchema" xmlns:xs="http://www.w3.org/2001/XMLSchema" xmlns:p="http://schemas.microsoft.com/office/2006/metadata/properties" xmlns:ns2="1dd60403-c00a-4cfb-aa31-eeaa376e74df" xmlns:ns3="63e6e02d-be90-4adf-b463-bea2e576eb67" targetNamespace="http://schemas.microsoft.com/office/2006/metadata/properties" ma:root="true" ma:fieldsID="a77f9f2face25f9fdb465bc944a29866" ns2:_="" ns3:_="">
    <xsd:import namespace="1dd60403-c00a-4cfb-aa31-eeaa376e74df"/>
    <xsd:import namespace="63e6e02d-be90-4adf-b463-bea2e576eb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d60403-c00a-4cfb-aa31-eeaa376e7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e6e02d-be90-4adf-b463-bea2e576eb6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231564-A995-4F13-BC49-22224C499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d60403-c00a-4cfb-aa31-eeaa376e74df"/>
    <ds:schemaRef ds:uri="63e6e02d-be90-4adf-b463-bea2e576eb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46DE20-BA98-4A15-BB85-AD930D944AEC}">
  <ds:schemaRefs>
    <ds:schemaRef ds:uri="http://schemas.microsoft.com/sharepoint/v3/contenttype/forms"/>
  </ds:schemaRefs>
</ds:datastoreItem>
</file>

<file path=customXml/itemProps3.xml><?xml version="1.0" encoding="utf-8"?>
<ds:datastoreItem xmlns:ds="http://schemas.openxmlformats.org/officeDocument/2006/customXml" ds:itemID="{85C60C00-B113-493D-BBC3-E1011ED4C535}">
  <ds:schemaRefs>
    <ds:schemaRef ds:uri="http://schemas.openxmlformats.org/officeDocument/2006/bibliography"/>
  </ds:schemaRefs>
</ds:datastoreItem>
</file>

<file path=customXml/itemProps4.xml><?xml version="1.0" encoding="utf-8"?>
<ds:datastoreItem xmlns:ds="http://schemas.openxmlformats.org/officeDocument/2006/customXml" ds:itemID="{57A0116F-DA0C-4568-94D6-D1A4B6F71F3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54</Pages>
  <Words>14099</Words>
  <Characters>84031</Characters>
  <Application>Microsoft Office Word</Application>
  <DocSecurity>0</DocSecurity>
  <Lines>1615</Lines>
  <Paragraphs>605</Paragraphs>
  <ScaleCrop>false</ScaleCrop>
  <Company/>
  <LinksUpToDate>false</LinksUpToDate>
  <CharactersWithSpaces>97525</CharactersWithSpaces>
  <SharedDoc>false</SharedDoc>
  <HLinks>
    <vt:vector size="120" baseType="variant">
      <vt:variant>
        <vt:i4>1310777</vt:i4>
      </vt:variant>
      <vt:variant>
        <vt:i4>116</vt:i4>
      </vt:variant>
      <vt:variant>
        <vt:i4>0</vt:i4>
      </vt:variant>
      <vt:variant>
        <vt:i4>5</vt:i4>
      </vt:variant>
      <vt:variant>
        <vt:lpwstr/>
      </vt:variant>
      <vt:variant>
        <vt:lpwstr>_Toc93563264</vt:lpwstr>
      </vt:variant>
      <vt:variant>
        <vt:i4>1245241</vt:i4>
      </vt:variant>
      <vt:variant>
        <vt:i4>110</vt:i4>
      </vt:variant>
      <vt:variant>
        <vt:i4>0</vt:i4>
      </vt:variant>
      <vt:variant>
        <vt:i4>5</vt:i4>
      </vt:variant>
      <vt:variant>
        <vt:lpwstr/>
      </vt:variant>
      <vt:variant>
        <vt:lpwstr>_Toc93563263</vt:lpwstr>
      </vt:variant>
      <vt:variant>
        <vt:i4>1179705</vt:i4>
      </vt:variant>
      <vt:variant>
        <vt:i4>104</vt:i4>
      </vt:variant>
      <vt:variant>
        <vt:i4>0</vt:i4>
      </vt:variant>
      <vt:variant>
        <vt:i4>5</vt:i4>
      </vt:variant>
      <vt:variant>
        <vt:lpwstr/>
      </vt:variant>
      <vt:variant>
        <vt:lpwstr>_Toc93563262</vt:lpwstr>
      </vt:variant>
      <vt:variant>
        <vt:i4>1114169</vt:i4>
      </vt:variant>
      <vt:variant>
        <vt:i4>98</vt:i4>
      </vt:variant>
      <vt:variant>
        <vt:i4>0</vt:i4>
      </vt:variant>
      <vt:variant>
        <vt:i4>5</vt:i4>
      </vt:variant>
      <vt:variant>
        <vt:lpwstr/>
      </vt:variant>
      <vt:variant>
        <vt:lpwstr>_Toc93563261</vt:lpwstr>
      </vt:variant>
      <vt:variant>
        <vt:i4>1048633</vt:i4>
      </vt:variant>
      <vt:variant>
        <vt:i4>92</vt:i4>
      </vt:variant>
      <vt:variant>
        <vt:i4>0</vt:i4>
      </vt:variant>
      <vt:variant>
        <vt:i4>5</vt:i4>
      </vt:variant>
      <vt:variant>
        <vt:lpwstr/>
      </vt:variant>
      <vt:variant>
        <vt:lpwstr>_Toc93563260</vt:lpwstr>
      </vt:variant>
      <vt:variant>
        <vt:i4>1638458</vt:i4>
      </vt:variant>
      <vt:variant>
        <vt:i4>86</vt:i4>
      </vt:variant>
      <vt:variant>
        <vt:i4>0</vt:i4>
      </vt:variant>
      <vt:variant>
        <vt:i4>5</vt:i4>
      </vt:variant>
      <vt:variant>
        <vt:lpwstr/>
      </vt:variant>
      <vt:variant>
        <vt:lpwstr>_Toc93563259</vt:lpwstr>
      </vt:variant>
      <vt:variant>
        <vt:i4>1572922</vt:i4>
      </vt:variant>
      <vt:variant>
        <vt:i4>80</vt:i4>
      </vt:variant>
      <vt:variant>
        <vt:i4>0</vt:i4>
      </vt:variant>
      <vt:variant>
        <vt:i4>5</vt:i4>
      </vt:variant>
      <vt:variant>
        <vt:lpwstr/>
      </vt:variant>
      <vt:variant>
        <vt:lpwstr>_Toc93563258</vt:lpwstr>
      </vt:variant>
      <vt:variant>
        <vt:i4>1507386</vt:i4>
      </vt:variant>
      <vt:variant>
        <vt:i4>74</vt:i4>
      </vt:variant>
      <vt:variant>
        <vt:i4>0</vt:i4>
      </vt:variant>
      <vt:variant>
        <vt:i4>5</vt:i4>
      </vt:variant>
      <vt:variant>
        <vt:lpwstr/>
      </vt:variant>
      <vt:variant>
        <vt:lpwstr>_Toc93563257</vt:lpwstr>
      </vt:variant>
      <vt:variant>
        <vt:i4>1441850</vt:i4>
      </vt:variant>
      <vt:variant>
        <vt:i4>68</vt:i4>
      </vt:variant>
      <vt:variant>
        <vt:i4>0</vt:i4>
      </vt:variant>
      <vt:variant>
        <vt:i4>5</vt:i4>
      </vt:variant>
      <vt:variant>
        <vt:lpwstr/>
      </vt:variant>
      <vt:variant>
        <vt:lpwstr>_Toc93563256</vt:lpwstr>
      </vt:variant>
      <vt:variant>
        <vt:i4>1376314</vt:i4>
      </vt:variant>
      <vt:variant>
        <vt:i4>62</vt:i4>
      </vt:variant>
      <vt:variant>
        <vt:i4>0</vt:i4>
      </vt:variant>
      <vt:variant>
        <vt:i4>5</vt:i4>
      </vt:variant>
      <vt:variant>
        <vt:lpwstr/>
      </vt:variant>
      <vt:variant>
        <vt:lpwstr>_Toc93563255</vt:lpwstr>
      </vt:variant>
      <vt:variant>
        <vt:i4>1310778</vt:i4>
      </vt:variant>
      <vt:variant>
        <vt:i4>56</vt:i4>
      </vt:variant>
      <vt:variant>
        <vt:i4>0</vt:i4>
      </vt:variant>
      <vt:variant>
        <vt:i4>5</vt:i4>
      </vt:variant>
      <vt:variant>
        <vt:lpwstr/>
      </vt:variant>
      <vt:variant>
        <vt:lpwstr>_Toc93563254</vt:lpwstr>
      </vt:variant>
      <vt:variant>
        <vt:i4>1245242</vt:i4>
      </vt:variant>
      <vt:variant>
        <vt:i4>50</vt:i4>
      </vt:variant>
      <vt:variant>
        <vt:i4>0</vt:i4>
      </vt:variant>
      <vt:variant>
        <vt:i4>5</vt:i4>
      </vt:variant>
      <vt:variant>
        <vt:lpwstr/>
      </vt:variant>
      <vt:variant>
        <vt:lpwstr>_Toc93563253</vt:lpwstr>
      </vt:variant>
      <vt:variant>
        <vt:i4>1179706</vt:i4>
      </vt:variant>
      <vt:variant>
        <vt:i4>44</vt:i4>
      </vt:variant>
      <vt:variant>
        <vt:i4>0</vt:i4>
      </vt:variant>
      <vt:variant>
        <vt:i4>5</vt:i4>
      </vt:variant>
      <vt:variant>
        <vt:lpwstr/>
      </vt:variant>
      <vt:variant>
        <vt:lpwstr>_Toc93563252</vt:lpwstr>
      </vt:variant>
      <vt:variant>
        <vt:i4>1114170</vt:i4>
      </vt:variant>
      <vt:variant>
        <vt:i4>38</vt:i4>
      </vt:variant>
      <vt:variant>
        <vt:i4>0</vt:i4>
      </vt:variant>
      <vt:variant>
        <vt:i4>5</vt:i4>
      </vt:variant>
      <vt:variant>
        <vt:lpwstr/>
      </vt:variant>
      <vt:variant>
        <vt:lpwstr>_Toc93563251</vt:lpwstr>
      </vt:variant>
      <vt:variant>
        <vt:i4>1048634</vt:i4>
      </vt:variant>
      <vt:variant>
        <vt:i4>32</vt:i4>
      </vt:variant>
      <vt:variant>
        <vt:i4>0</vt:i4>
      </vt:variant>
      <vt:variant>
        <vt:i4>5</vt:i4>
      </vt:variant>
      <vt:variant>
        <vt:lpwstr/>
      </vt:variant>
      <vt:variant>
        <vt:lpwstr>_Toc93563250</vt:lpwstr>
      </vt:variant>
      <vt:variant>
        <vt:i4>1638459</vt:i4>
      </vt:variant>
      <vt:variant>
        <vt:i4>26</vt:i4>
      </vt:variant>
      <vt:variant>
        <vt:i4>0</vt:i4>
      </vt:variant>
      <vt:variant>
        <vt:i4>5</vt:i4>
      </vt:variant>
      <vt:variant>
        <vt:lpwstr/>
      </vt:variant>
      <vt:variant>
        <vt:lpwstr>_Toc93563249</vt:lpwstr>
      </vt:variant>
      <vt:variant>
        <vt:i4>1572923</vt:i4>
      </vt:variant>
      <vt:variant>
        <vt:i4>20</vt:i4>
      </vt:variant>
      <vt:variant>
        <vt:i4>0</vt:i4>
      </vt:variant>
      <vt:variant>
        <vt:i4>5</vt:i4>
      </vt:variant>
      <vt:variant>
        <vt:lpwstr/>
      </vt:variant>
      <vt:variant>
        <vt:lpwstr>_Toc93563248</vt:lpwstr>
      </vt:variant>
      <vt:variant>
        <vt:i4>1507387</vt:i4>
      </vt:variant>
      <vt:variant>
        <vt:i4>14</vt:i4>
      </vt:variant>
      <vt:variant>
        <vt:i4>0</vt:i4>
      </vt:variant>
      <vt:variant>
        <vt:i4>5</vt:i4>
      </vt:variant>
      <vt:variant>
        <vt:lpwstr/>
      </vt:variant>
      <vt:variant>
        <vt:lpwstr>_Toc93563247</vt:lpwstr>
      </vt:variant>
      <vt:variant>
        <vt:i4>1441851</vt:i4>
      </vt:variant>
      <vt:variant>
        <vt:i4>8</vt:i4>
      </vt:variant>
      <vt:variant>
        <vt:i4>0</vt:i4>
      </vt:variant>
      <vt:variant>
        <vt:i4>5</vt:i4>
      </vt:variant>
      <vt:variant>
        <vt:lpwstr/>
      </vt:variant>
      <vt:variant>
        <vt:lpwstr>_Toc93563246</vt:lpwstr>
      </vt:variant>
      <vt:variant>
        <vt:i4>1376315</vt:i4>
      </vt:variant>
      <vt:variant>
        <vt:i4>2</vt:i4>
      </vt:variant>
      <vt:variant>
        <vt:i4>0</vt:i4>
      </vt:variant>
      <vt:variant>
        <vt:i4>5</vt:i4>
      </vt:variant>
      <vt:variant>
        <vt:lpwstr/>
      </vt:variant>
      <vt:variant>
        <vt:lpwstr>_Toc93563245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Curtis</dc:creator>
  <cp:keywords/>
  <dc:description/>
  <cp:lastModifiedBy>Brandon Curtis</cp:lastModifiedBy>
  <cp:revision>141</cp:revision>
  <dcterms:created xsi:type="dcterms:W3CDTF">2022-01-20T01:09:00Z</dcterms:created>
  <dcterms:modified xsi:type="dcterms:W3CDTF">2022-01-30T03:34:00Z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0x0101009D754BDE3783254381DB48B7D0CF53F3</vt:lpwstr>
  </property>
</Properties>
</file>